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Union’s DORA regulation mandates ongoing ICT resilience for financial firms by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Digital Operational Resilience Act (DORA) is now in force and financial institutions operating in or serving clients within the European Union must demonstrate robust ICT risk management and cyber resilience by the statutory deadline of 17 January 2025. According to the original report, the regulation demands continuous, evidence‑based controls across ICT systems, incident reporting, testing, third‑party oversight and information sharing , a comprehensive shift from periodic compliance checks to sustained operational resilience.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 practical first step is scoping: organisations must map every ICT system, network asset and digital service that supports financial operations to relevant DORA provisions. The original report stresses the need to identify critical systems, document data flows and third‑party touchpoints, and maintain a living inventory that covers hybrid and multi‑cloud architectures; industry checklists similarly recommend systematic asset discovery and inventory as foundational to compliance.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Building an ICT risk management framework aligned to DORA requires governance, continuous risk identification and consistent policy structures. The regulation is organised around five pillars , ICT risk management, ICT incident management, digital operational resilience testing, ICT third‑party risk management and information sharing , and organisations should adopt standardised classification and scoring methodologies to prioritise remediation. The original report and sector guidance both highlight automation and centralised policy management as practical enablers of continuous assessment. </w:t>
      </w:r>
      <w:hyperlink r:id="rId9">
        <w:r>
          <w:rPr>
            <w:color w:val="0000EE"/>
            <w:u w:val="single"/>
          </w:rPr>
          <w:t>[1]</w:t>
        </w:r>
      </w:hyperlink>
      <w:hyperlink r:id="rId11">
        <w:r>
          <w:rPr>
            <w:color w:val="0000EE"/>
            <w:u w:val="single"/>
          </w:rPr>
          <w:t>[3]</w:t>
        </w:r>
      </w:hyperlink>
      <w:hyperlink r:id="rId12">
        <w:r>
          <w:rPr>
            <w:color w:val="0000EE"/>
            <w:u w:val="single"/>
          </w:rPr>
          <w:t>[6]</w:t>
        </w:r>
      </w:hyperlink>
      <w:r/>
    </w:p>
    <w:p>
      <w:r/>
      <w:r>
        <w:t xml:space="preserve">Continuous monitoring and incident management are central obligations. DORA expects real‑time detection of configuration drift, policy changes and anomalous access patterns, and sets strict timelines for reporting major ICT incidents to supervisory authorities. The original report recommends automated change detection, comprehensive audit trails and alerting tuned to segmentation and least‑privilege violations; independent guidance on DORA testing reiterates the need to validate these monitoring controls through regular exercises. </w:t>
      </w:r>
      <w:hyperlink r:id="rId9">
        <w:r>
          <w:rPr>
            <w:color w:val="0000EE"/>
            <w:u w:val="single"/>
          </w:rPr>
          <w:t>[1]</w:t>
        </w:r>
      </w:hyperlink>
      <w:hyperlink r:id="rId13">
        <w:r>
          <w:rPr>
            <w:color w:val="0000EE"/>
            <w:u w:val="single"/>
          </w:rPr>
          <w:t>[5]</w:t>
        </w:r>
      </w:hyperlink>
      <w:r/>
    </w:p>
    <w:p>
      <w:r/>
      <w:r>
        <w:t xml:space="preserve">Change management and auditable policy lifecycles must be formalised. DORA requires documented approval paths, separation of duties, pre‑change risk assessments and retained historical rule states for forensic analysis. The lead article describes how policy lifecycle automation and rule optimisation reduce rule bloat and improve audit readiness , an approach mirrored in multiple checklists that advise embedding change governance into day‑to‑day operations. </w:t>
      </w:r>
      <w:hyperlink r:id="rId9">
        <w:r>
          <w:rPr>
            <w:color w:val="0000EE"/>
            <w:u w:val="single"/>
          </w:rPr>
          <w:t>[1]</w:t>
        </w:r>
      </w:hyperlink>
      <w:hyperlink r:id="rId11">
        <w:r>
          <w:rPr>
            <w:color w:val="0000EE"/>
            <w:u w:val="single"/>
          </w:rPr>
          <w:t>[3]</w:t>
        </w:r>
      </w:hyperlink>
      <w:hyperlink r:id="rId12">
        <w:r>
          <w:rPr>
            <w:color w:val="0000EE"/>
            <w:u w:val="single"/>
          </w:rPr>
          <w:t>[6]</w:t>
        </w:r>
      </w:hyperlink>
      <w:r/>
    </w:p>
    <w:p>
      <w:r/>
      <w:r>
        <w:t xml:space="preserve">Third‑party oversight receives extensive attention under DORA. Financial entities remain responsible for the security posture of their ICT providers, and must include contractual security obligations, exit strategies and concentration‑risk assessments in their programmes. Practical steps include validating vendor connectivity, monitoring remote access pathways for over‑permissive rules and maintaining evidence of ongoing oversight. Several industry checklists emphasise that network visibility complements, but does not replace, contractual and governance controls. </w:t>
      </w:r>
      <w:hyperlink r:id="rId9">
        <w:r>
          <w:rPr>
            <w:color w:val="0000EE"/>
            <w:u w:val="single"/>
          </w:rPr>
          <w:t>[1]</w:t>
        </w:r>
      </w:hyperlink>
      <w:hyperlink r:id="rId11">
        <w:r>
          <w:rPr>
            <w:color w:val="0000EE"/>
            <w:u w:val="single"/>
          </w:rPr>
          <w:t>[3]</w:t>
        </w:r>
      </w:hyperlink>
      <w:hyperlink r:id="rId14">
        <w:r>
          <w:rPr>
            <w:color w:val="0000EE"/>
            <w:u w:val="single"/>
          </w:rPr>
          <w:t>[7]</w:t>
        </w:r>
      </w:hyperlink>
      <w:r/>
    </w:p>
    <w:p>
      <w:r/>
      <w:r>
        <w:t xml:space="preserve">Testing, audit and reporting complete the regulatory cycle. DORA requires routine vulnerability assessments and, for designated entities, threat‑led penetration testing at defined intervals to simulate realistic attacker scenarios. The original report urges combined use of network policy tools and independent red‑team or TLPT engagements, while other guides stress systematic documentation of test results, remediation and control effectiveness to produce regulator‑ready evidence packages. </w:t>
      </w:r>
      <w:hyperlink r:id="rId9">
        <w:r>
          <w:rPr>
            <w:color w:val="0000EE"/>
            <w:u w:val="single"/>
          </w:rPr>
          <w:t>[1]</w:t>
        </w:r>
      </w:hyperlink>
      <w:hyperlink r:id="rId13">
        <w:r>
          <w:rPr>
            <w:color w:val="0000EE"/>
            <w:u w:val="single"/>
          </w:rPr>
          <w:t>[5]</w:t>
        </w:r>
      </w:hyperlink>
      <w:hyperlink r:id="rId15">
        <w:r>
          <w:rPr>
            <w:color w:val="0000EE"/>
            <w:u w:val="single"/>
          </w:rPr>
          <w:t>[4]</w:t>
        </w:r>
      </w:hyperlink>
      <w:r/>
    </w:p>
    <w:p>
      <w:r/>
      <w:r>
        <w:t xml:space="preserve">Achieving and sustaining DORA compliance is an ongoing, organisation‑wide endeavour: start with a gap analysis, prioritise remediations by business impact, implement continuous monitoring and standardised change governance, and extend oversight to the full vendor ecosystem. Industry checklists and practitioner guides converge on the value of automation, centralised policy management and continuous evidence generation to reduce audit burden and materially strengthen operational resilience. The company claims that integrated security management suites can simplify many technical elements of this transition, though broader governance and resilience programmes remain essential.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[6]</w:t>
        </w:r>
      </w:hyperlink>
      <w:hyperlink r:id="rId14">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(FireMon blog)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(Catchpoint) - Paragraph 1, Paragraph 8 </w:t>
      </w:r>
      <w:r/>
    </w:p>
    <w:p>
      <w:pPr>
        <w:pStyle w:val="ListBullet"/>
        <w:spacing w:line="240" w:lineRule="auto"/>
        <w:ind w:left="720"/>
      </w:pPr>
      <w:r/>
      <w:hyperlink r:id="rId11">
        <w:r>
          <w:rPr>
            <w:color w:val="0000EE"/>
            <w:u w:val="single"/>
          </w:rPr>
          <w:t>[3]</w:t>
        </w:r>
      </w:hyperlink>
      <w:r>
        <w:t xml:space="preserve"> (ISMS.online DORA Checklist) - Paragraph 2, Paragraph 3, Paragraph 5, Paragraph 6, Paragraph 8 </w:t>
      </w:r>
      <w:r/>
    </w:p>
    <w:p>
      <w:pPr>
        <w:pStyle w:val="ListBullet"/>
        <w:spacing w:line="240" w:lineRule="auto"/>
        <w:ind w:left="720"/>
      </w:pPr>
      <w:r/>
      <w:hyperlink r:id="rId15">
        <w:r>
          <w:rPr>
            <w:color w:val="0000EE"/>
            <w:u w:val="single"/>
          </w:rPr>
          <w:t>[4]</w:t>
        </w:r>
      </w:hyperlink>
      <w:r>
        <w:t xml:space="preserve"> (Cryptix DORA Checklist) - Paragraph 7 </w:t>
      </w:r>
      <w:r/>
    </w:p>
    <w:p>
      <w:pPr>
        <w:pStyle w:val="ListBullet"/>
        <w:spacing w:line="240" w:lineRule="auto"/>
        <w:ind w:left="720"/>
      </w:pPr>
      <w:r/>
      <w:hyperlink r:id="rId13">
        <w:r>
          <w:rPr>
            <w:color w:val="0000EE"/>
            <w:u w:val="single"/>
          </w:rPr>
          <w:t>[5]</w:t>
        </w:r>
      </w:hyperlink>
      <w:r>
        <w:t xml:space="preserve"> (Responsive guide) - Paragraph 4, Paragraph 7 </w:t>
      </w:r>
      <w:r/>
    </w:p>
    <w:p>
      <w:pPr>
        <w:pStyle w:val="ListBullet"/>
        <w:spacing w:line="240" w:lineRule="auto"/>
        <w:ind w:left="720"/>
      </w:pPr>
      <w:r/>
      <w:hyperlink r:id="rId12">
        <w:r>
          <w:rPr>
            <w:color w:val="0000EE"/>
            <w:u w:val="single"/>
          </w:rPr>
          <w:t>[6]</w:t>
        </w:r>
      </w:hyperlink>
      <w:r>
        <w:t xml:space="preserve"> (BOC Group checklist) - Paragraph 3, Paragraph 5, Paragraph 8 </w:t>
      </w:r>
      <w:r/>
    </w:p>
    <w:p>
      <w:pPr>
        <w:pStyle w:val="ListBullet"/>
        <w:spacing w:line="240" w:lineRule="auto"/>
        <w:ind w:left="720"/>
      </w:pPr>
      <w:r/>
      <w:hyperlink r:id="rId14">
        <w:r>
          <w:rPr>
            <w:color w:val="0000EE"/>
            <w:u w:val="single"/>
          </w:rPr>
          <w:t>[7]</w:t>
        </w:r>
      </w:hyperlink>
      <w:r>
        <w:t xml:space="preserve"> (Hadrian checklist) - Paragraph 6,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https://www.firemon.com/blog/dora-compliance-checklist-cybersecurity/</w:t>
        </w:r>
      </w:hyperlink>
      <w:r>
        <w:t xml:space="preserve"> - Please view link - unable to able to access data</w:t>
      </w:r>
      <w:r/>
    </w:p>
    <w:p>
      <w:pPr>
        <w:pStyle w:val="ListNumber"/>
        <w:spacing w:line="240" w:lineRule="auto"/>
        <w:ind w:left="720"/>
      </w:pPr>
      <w:r/>
      <w:hyperlink r:id="rId10">
        <w:r>
          <w:rPr>
            <w:color w:val="0000EE"/>
            <w:u w:val="single"/>
          </w:rPr>
          <w:t>https://www.catchpoint.com/asset/dora-compliance-checklist</w:t>
        </w:r>
      </w:hyperlink>
      <w:r>
        <w:t xml:space="preserve"> - Catchpoint offers a comprehensive DORA Compliance Checklist to assist financial institutions in meeting the Digital Operational Resilience Act's requirements by January 17, 2025. The checklist provides detailed information about DORA, its applicability, and steps for compliance, including how Catchpoint's IPM platform can aid in achieving compliance. It serves as a valuable resource for organizations aiming to align their cybersecurity and operational resilience strategies with DORA's mandates.</w:t>
      </w:r>
      <w:r/>
    </w:p>
    <w:p>
      <w:pPr>
        <w:pStyle w:val="ListNumber"/>
        <w:spacing w:line="240" w:lineRule="auto"/>
        <w:ind w:left="720"/>
      </w:pPr>
      <w:r/>
      <w:hyperlink r:id="rId11">
        <w:r>
          <w:rPr>
            <w:color w:val="0000EE"/>
            <w:u w:val="single"/>
          </w:rPr>
          <w:t>https://www.isms.online/app/uploads/2023/06/DORA-Checklist.pdf</w:t>
        </w:r>
      </w:hyperlink>
      <w:r>
        <w:t xml:space="preserve"> - This DORA Compliance Checklist outlines essential steps for financial institutions to adhere to the Digital Operational Resilience Act. It emphasizes managing third-party risks, continuous monitoring, engaging with regulators, implementing an Information Security Management System (ISMS), conducting internal audits, training employees, staying updated on industry best practices, and maintaining comprehensive documentation. The checklist is designed to guide organizations in systematically addressing DORA's requirements to enhance their digital operational resilience.</w:t>
      </w:r>
      <w:r/>
    </w:p>
    <w:p>
      <w:pPr>
        <w:pStyle w:val="ListNumber"/>
        <w:spacing w:line="240" w:lineRule="auto"/>
        <w:ind w:left="720"/>
      </w:pPr>
      <w:r/>
      <w:hyperlink r:id="rId15">
        <w:r>
          <w:rPr>
            <w:color w:val="0000EE"/>
            <w:u w:val="single"/>
          </w:rPr>
          <w:t>https://dora.cryptix.ag/wp-content/uploads/2025/09/DORA-Checklist.pdf</w:t>
        </w:r>
      </w:hyperlink>
      <w:r>
        <w:t xml:space="preserve"> - Cryptix provides a DORA Compliance Checklist tailored for businesses to assess their adherence to the Digital Operational Resilience Act. The checklist covers key areas such as ICT risk management, governance, and organization, offering a clear guide to help organizations review and evaluate their compliance status. It also highlights special considerations for microenterprises, acknowledging the principle of proportionality in DORA's application. This resource is particularly useful for entities seeking to understand and implement DORA's requirements effectively.</w:t>
      </w:r>
      <w:r/>
    </w:p>
    <w:p>
      <w:pPr>
        <w:pStyle w:val="ListNumber"/>
        <w:spacing w:line="240" w:lineRule="auto"/>
        <w:ind w:left="720"/>
      </w:pPr>
      <w:r/>
      <w:hyperlink r:id="rId13">
        <w:r>
          <w:rPr>
            <w:color w:val="0000EE"/>
            <w:u w:val="single"/>
          </w:rPr>
          <w:t>https://www.responsive.io/blog/dora-requirements-guide</w:t>
        </w:r>
      </w:hyperlink>
      <w:r>
        <w:t xml:space="preserve"> - Responsive offers a guide on DORA requirements, focusing on digital operational resilience testing. The guide details the necessity for regular resilience testing of ICT systems, including basic tests like vulnerability assessments at least once a year and advanced testing such as threat-led penetration testing (TLPT) every three years. It outlines the protocols for testing, documentation of identified weaknesses, and the importance of engaging qualified professionals for advanced testing. This resource is essential for financial entities aiming to comply with DORA's testing mandates.</w:t>
      </w:r>
      <w:r/>
    </w:p>
    <w:p>
      <w:pPr>
        <w:pStyle w:val="ListNumber"/>
        <w:spacing w:line="240" w:lineRule="auto"/>
        <w:ind w:left="720"/>
      </w:pPr>
      <w:r/>
      <w:hyperlink r:id="rId12">
        <w:r>
          <w:rPr>
            <w:color w:val="0000EE"/>
            <w:u w:val="single"/>
          </w:rPr>
          <w:t>https://www.boc-group.com/en/resources/grc/dora-compliance-checklist/</w:t>
        </w:r>
      </w:hyperlink>
      <w:r>
        <w:t xml:space="preserve"> - BOC Group provides a DORA Compliance Checklist designed to help organizations in the financial sector navigate the Digital Operational Resilience Act. The checklist includes ten key criteria for compliance, offering a comprehensive assessment of an organization's adherence to DORA's requirements. It serves as a tool to identify specific areas for action and prioritize next steps, aiding companies in ensuring they meet the mandatory DORA standards effectively.</w:t>
      </w:r>
      <w:r/>
    </w:p>
    <w:p>
      <w:pPr>
        <w:pStyle w:val="ListNumber"/>
        <w:spacing w:line="240" w:lineRule="auto"/>
        <w:ind w:left="720"/>
      </w:pPr>
      <w:r/>
      <w:hyperlink r:id="rId14">
        <w:r>
          <w:rPr>
            <w:color w:val="0000EE"/>
            <w:u w:val="single"/>
          </w:rPr>
          <w:t>https://hadrian.io/resources/dora-compliance-checklist</w:t>
        </w:r>
      </w:hyperlink>
      <w:r>
        <w:t xml:space="preserve"> - Hadrian offers a DORA Compliance Checklist to assist organizations in meeting the challenges posed by the Digital Operational Resilience Act. The checklist provides a tailored list of actionable items for integrating essential measures, ensuring robust cybersecurity resilience in compliance with DORA. It also offers a comprehensive understanding of DORA and its implications for financial institutions, highlighting how DORA can be an opportunity to enhance business cybersecurity practices and future-proof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remon.com/blog/dora-compliance-checklist-cybersecurity/" TargetMode="External"/><Relationship Id="rId10" Type="http://schemas.openxmlformats.org/officeDocument/2006/relationships/hyperlink" Target="https://www.catchpoint.com/asset/dora-compliance-checklist" TargetMode="External"/><Relationship Id="rId11" Type="http://schemas.openxmlformats.org/officeDocument/2006/relationships/hyperlink" Target="https://www.isms.online/app/uploads/2023/06/DORA-Checklist.pdf" TargetMode="External"/><Relationship Id="rId12" Type="http://schemas.openxmlformats.org/officeDocument/2006/relationships/hyperlink" Target="https://www.boc-group.com/en/resources/grc/dora-compliance-checklist/" TargetMode="External"/><Relationship Id="rId13" Type="http://schemas.openxmlformats.org/officeDocument/2006/relationships/hyperlink" Target="https://www.responsive.io/blog/dora-requirements-guide" TargetMode="External"/><Relationship Id="rId14" Type="http://schemas.openxmlformats.org/officeDocument/2006/relationships/hyperlink" Target="https://hadrian.io/resources/dora-compliance-checklist" TargetMode="External"/><Relationship Id="rId15" Type="http://schemas.openxmlformats.org/officeDocument/2006/relationships/hyperlink" Target="https://dora.cryptix.ag/wp-content/uploads/2025/09/DORA-Checklist.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