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Link11 warns of escalating European cyberthreats in 2026, driven by API vulnerabilities and AI-driven attacks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Link11, a European web infrastructure security vendor, has published a forward-looking assessment that warns organisations across Europe to prepare for an increasingly complex and coordinated cyberthreat landscape in 2026. According to the TechRound article republishing Link11’s release by CyberNewswire, the vendor’s analysis draws on its own European Cyber Report and wider market signals, including PwC’s Global Digital Trust Insights 2026, to identify five interlocking trends that will shape defence priorities next year. </w:t>
      </w:r>
      <w:hyperlink r:id="rId9">
        <w:r>
          <w:rPr>
            <w:color w:val="0000EE"/>
            <w:u w:val="single"/>
          </w:rPr>
          <w:t>[1]</w:t>
        </w:r>
      </w:hyperlink>
      <w:r>
        <w:t>[PwC]</w:t>
      </w:r>
      <w:r/>
    </w:p>
    <w:p>
      <w:r/>
      <w:r>
        <w:t xml:space="preserve">DDoS attacks, Link11 argues, are shifting from blunt disruption tools to deliberate diversionary tactics. The company claims threat actors will mount distributed denial-of-service waves primarily to distract defenders while parallel intrusions, data theft or covert malware deployments occur. That assessment echoes industry research: a Kaspersky study found 56% of businesses believe DDoS events are used as decoys for other criminal activity, underlining the need for incident response processes that treat any DDoS as a potential multi‑vector intrusion. </w:t>
      </w:r>
      <w:hyperlink r:id="rId9">
        <w:r>
          <w:rPr>
            <w:color w:val="0000EE"/>
            <w:u w:val="single"/>
          </w:rPr>
          <w:t>[1]</w:t>
        </w:r>
      </w:hyperlink>
      <w:hyperlink r:id="rId10">
        <w:r>
          <w:rPr>
            <w:color w:val="0000EE"/>
            <w:u w:val="single"/>
          </w:rPr>
          <w:t>[2]</w:t>
        </w:r>
      </w:hyperlink>
      <w:r/>
    </w:p>
    <w:p>
      <w:r/>
      <w:r>
        <w:t xml:space="preserve">Link11 highlights APIs as a central vulnerability as European services move to API-first architectures. The vendor warns that undocumented or misconfigured APIs, proliferating across finance, commerce and public-sector platforms, offer high-value entry points for automated scraping, credential-stuffing and business‑logic abuse. Independent industry analysis supports this view: Wiz explains how credential stuffing and account takeover abuse legitimate API functions, while GlobalDots and Prophaze outline how API sprawl and misconfiguration expose sensitive data and enable business‑logic exploitation. Infosecurity Magazine and Prophaze also report that such abuses are difficult to detect because they mimic normal usage and can persist undetected for months.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[6]</w:t>
        </w:r>
      </w:hyperlink>
      <w:hyperlink r:id="rId14">
        <w:r>
          <w:rPr>
            <w:color w:val="0000EE"/>
            <w:u w:val="single"/>
          </w:rPr>
          <w:t>[5]</w:t>
        </w:r>
      </w:hyperlink>
      <w:r/>
    </w:p>
    <w:p>
      <w:r/>
      <w:r>
        <w:t xml:space="preserve">As a counterpoint to siloed tooling, Link11 expects consolidated WAAP (web application and API protection) platforms to overtake fragmented security stacks. The company argues integrated systems that correlate signals from WAFs, DDoS defences and bot management will be better placed to spot subtle anomalies and multi-layer attacks, an architectural pivot that organisations operating hybrid cloud estates will find increasingly necessary. Industry guidance from Radware and others similarly recommends coordinated defences, including web application firewalls and network segmentation, to contend with modern attack platforms. </w:t>
      </w:r>
      <w:hyperlink r:id="rId9">
        <w:r>
          <w:rPr>
            <w:color w:val="0000EE"/>
            <w:u w:val="single"/>
          </w:rPr>
          <w:t>[1]</w:t>
        </w:r>
      </w:hyperlink>
      <w:hyperlink r:id="rId15">
        <w:r>
          <w:rPr>
            <w:color w:val="0000EE"/>
            <w:u w:val="single"/>
          </w:rPr>
          <w:t>[7]</w:t>
        </w:r>
      </w:hyperlink>
      <w:r/>
    </w:p>
    <w:p>
      <w:r/>
      <w:r>
        <w:t xml:space="preserve">Link11 also forecasts that AI-driven DDoS mitigation will become essential as attackers employ hyper‑scale infrastructures and large IoT botnets to generate rapid, dynamic traffic spikes. The vendor asserts that rule‑based approaches are insufficient and that behavioural, AI‑first systems will be required to distinguish legitimate traffic from evolving attack patterns and enable autonomous mitigation in milliseconds. This mirrors broader industry commentary calling for behavioural baselining and automated response to reduce downtime and operational burden. </w:t>
      </w:r>
      <w:hyperlink r:id="rId9">
        <w:r>
          <w:rPr>
            <w:color w:val="0000EE"/>
            <w:u w:val="single"/>
          </w:rPr>
          <w:t>[1]</w:t>
        </w:r>
      </w:hyperlink>
      <w:hyperlink r:id="rId15">
        <w:r>
          <w:rPr>
            <w:color w:val="0000EE"/>
            <w:u w:val="single"/>
          </w:rPr>
          <w:t>[7]</w:t>
        </w:r>
      </w:hyperlink>
      <w:hyperlink r:id="rId13">
        <w:r>
          <w:rPr>
            <w:color w:val="0000EE"/>
            <w:u w:val="single"/>
          </w:rPr>
          <w:t>[6]</w:t>
        </w:r>
      </w:hyperlink>
      <w:r/>
    </w:p>
    <w:p>
      <w:r/>
      <w:r>
        <w:t xml:space="preserve">Regulatory pressure forms the fifth pillar of Link11’s outlook. The company points to NIS2, DORA and emerging national requirements that compel faster breach reporting, often within 24 to 72 hours, and greater supply‑chain scrutiny. Link11 notes governments are moving toward accountability measures for software vendors, including Secure‑by‑Design expectations and mandatory Software Bills of Materials (SBOMs), which will shift compliance from an annual activity to ongoing operational practice. PwC’s Global Digital Trust Insights 2026 is cited as showing geopolitical uncertainty is driving higher cybersecurity investment even as many organisations underinvest in proactive monitoring, testing and hardening. </w:t>
      </w:r>
      <w:hyperlink r:id="rId9">
        <w:r>
          <w:rPr>
            <w:color w:val="0000EE"/>
            <w:u w:val="single"/>
          </w:rPr>
          <w:t>[1]</w:t>
        </w:r>
      </w:hyperlink>
      <w:r>
        <w:t>[PwC]</w:t>
      </w:r>
      <w:r/>
    </w:p>
    <w:p>
      <w:r/>
      <w:r>
        <w:t xml:space="preserve">Taken together, Link11’s brief urges a coordinated response: revised incident response playbooks that treat DDoS alerts as potential diversions, tighter API governance and inventory, migration toward integrated WAAP platforms, investment in AI-driven mitigation, and a compliance posture aligned to tightening European regulations. Jens‑Philipp Jung, CEO of Link11, encapsulated the warning: "In 2026, we expect DDoS attacks to be used far more often as smokescreens for deeper, more damaging intrusions." The statement was presented in Link11’s corporate release republished by TechRound; the company’s characterisation of future risk should be read as the vendor’s assessment rather than an independent audit. </w:t>
      </w:r>
      <w:hyperlink r:id="rId9">
        <w:r>
          <w:rPr>
            <w:color w:val="0000EE"/>
            <w:u w:val="single"/>
          </w:rPr>
          <w:t>[1]</w:t>
        </w:r>
      </w:hyperlink>
      <w:r/>
    </w:p>
    <w:p>
      <w:r/>
      <w:r>
        <w:t xml:space="preserve">For organisations planning budgets and roadmaps, the practical implications are clear from multiple industry sources: treat DDoS as a potential multi‑vector incident, apply stricter controls and observability to APIs, prioritise platform consolidation where sensible, and adopt behavioural, AI‑enabled defences to keep pace with hyper‑scale attacks. At the same time, legal and procurement teams should prepare for more stringent reporting and supply‑chain requirements driven by European regulation.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4">
        <w:r>
          <w:rPr>
            <w:color w:val="0000EE"/>
            <w:u w:val="single"/>
          </w:rPr>
          <w:t>[5]</w:t>
        </w:r>
      </w:hyperlink>
      <w:hyperlink r:id="rId13">
        <w:r>
          <w:rPr>
            <w:color w:val="0000EE"/>
            <w:u w:val="single"/>
          </w:rPr>
          <w:t>[6]</w:t>
        </w:r>
      </w:hyperlink>
      <w:hyperlink r:id="rId15">
        <w:r>
          <w:rPr>
            <w:color w:val="0000EE"/>
            <w:u w:val="single"/>
          </w:rPr>
          <w:t>[7]</w:t>
        </w:r>
      </w:hyperlink>
      <w:r>
        <w:t>[PwC]</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(TechRound / CyberNewswire)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(Kaspersky) - Paragraph 2, Paragraph 8 </w:t>
      </w:r>
      <w:r/>
    </w:p>
    <w:p>
      <w:pPr>
        <w:pStyle w:val="ListBullet"/>
        <w:spacing w:line="240" w:lineRule="auto"/>
        <w:ind w:left="720"/>
      </w:pPr>
      <w:r/>
      <w:hyperlink r:id="rId11">
        <w:r>
          <w:rPr>
            <w:color w:val="0000EE"/>
            <w:u w:val="single"/>
          </w:rPr>
          <w:t>[3]</w:t>
        </w:r>
      </w:hyperlink>
      <w:r>
        <w:t xml:space="preserve"> (Wiz) - Paragraph 3, Paragraph 8 </w:t>
      </w:r>
      <w:r/>
    </w:p>
    <w:p>
      <w:pPr>
        <w:pStyle w:val="ListBullet"/>
        <w:spacing w:line="240" w:lineRule="auto"/>
        <w:ind w:left="720"/>
      </w:pPr>
      <w:r/>
      <w:hyperlink r:id="rId12">
        <w:r>
          <w:rPr>
            <w:color w:val="0000EE"/>
            <w:u w:val="single"/>
          </w:rPr>
          <w:t>[4]</w:t>
        </w:r>
      </w:hyperlink>
      <w:r>
        <w:t xml:space="preserve"> (GlobalDots) - Paragraph 3, Paragraph 8 </w:t>
      </w:r>
      <w:r/>
    </w:p>
    <w:p>
      <w:pPr>
        <w:pStyle w:val="ListBullet"/>
        <w:spacing w:line="240" w:lineRule="auto"/>
        <w:ind w:left="720"/>
      </w:pPr>
      <w:r/>
      <w:hyperlink r:id="rId14">
        <w:r>
          <w:rPr>
            <w:color w:val="0000EE"/>
            <w:u w:val="single"/>
          </w:rPr>
          <w:t>[5]</w:t>
        </w:r>
      </w:hyperlink>
      <w:r>
        <w:t xml:space="preserve"> (Infosecurity Magazine) - Paragraph 3, Paragraph 8 </w:t>
      </w:r>
      <w:r/>
    </w:p>
    <w:p>
      <w:pPr>
        <w:pStyle w:val="ListBullet"/>
        <w:spacing w:line="240" w:lineRule="auto"/>
        <w:ind w:left="720"/>
      </w:pPr>
      <w:r/>
      <w:hyperlink r:id="rId13">
        <w:r>
          <w:rPr>
            <w:color w:val="0000EE"/>
            <w:u w:val="single"/>
          </w:rPr>
          <w:t>[6]</w:t>
        </w:r>
      </w:hyperlink>
      <w:r>
        <w:t xml:space="preserve"> (Prophaze) - Paragraph 3, Paragraph 5, Paragraph 8 </w:t>
      </w:r>
      <w:r/>
    </w:p>
    <w:p>
      <w:pPr>
        <w:pStyle w:val="ListBullet"/>
        <w:spacing w:line="240" w:lineRule="auto"/>
        <w:ind w:left="720"/>
      </w:pPr>
      <w:r/>
      <w:hyperlink r:id="rId15">
        <w:r>
          <w:rPr>
            <w:color w:val="0000EE"/>
            <w:u w:val="single"/>
          </w:rPr>
          <w:t>[7]</w:t>
        </w:r>
      </w:hyperlink>
      <w:r>
        <w:t xml:space="preserve"> (Radware) - Paragraph 4, Paragraph 5, Paragraph 8 </w:t>
      </w:r>
      <w:r/>
    </w:p>
    <w:p>
      <w:pPr>
        <w:pStyle w:val="ListBullet"/>
        <w:spacing w:line="240" w:lineRule="auto"/>
        <w:ind w:left="720"/>
      </w:pPr>
      <w:r/>
      <w:r>
        <w:t>[PwC] (PwC Global Digital Trust Insights 2026) - Paragraph 1,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https://techround.co.uk/cybersecurity/link11-identifies-five-cybersecurity-trends-european-defence-strategies-2026/</w:t>
        </w:r>
      </w:hyperlink>
      <w:r>
        <w:t xml:space="preserve"> - Please view link - unable to able to access data</w:t>
      </w:r>
      <w:r/>
    </w:p>
    <w:p>
      <w:pPr>
        <w:pStyle w:val="ListNumber"/>
        <w:spacing w:line="240" w:lineRule="auto"/>
        <w:ind w:left="720"/>
      </w:pPr>
      <w:r/>
      <w:hyperlink r:id="rId10">
        <w:r>
          <w:rPr>
            <w:color w:val="0000EE"/>
            <w:u w:val="single"/>
          </w:rPr>
          <w:t>https://www.kaspersky.com/about/press-releases/research-reveals-hacker-tactics-cybercriminals-use-ddos-as-smokescreen-for-other-attacks-on-business</w:t>
        </w:r>
      </w:hyperlink>
      <w:r>
        <w:t xml:space="preserve"> - A Kaspersky study found that 56% of businesses believed DDoS attacks were used as decoys for other criminal activities. The report highlights that while DDoS attacks disrupt services, they can also divert IT teams' attention, allowing attackers to infiltrate networks, steal data, or deploy malware unnoticed. This underscores the need for incident response frameworks that treat any DDoS alert as a potential precursor to broader, multi-vector intrusions.</w:t>
      </w:r>
      <w:r/>
    </w:p>
    <w:p>
      <w:pPr>
        <w:pStyle w:val="ListNumber"/>
        <w:spacing w:line="240" w:lineRule="auto"/>
        <w:ind w:left="720"/>
      </w:pPr>
      <w:r/>
      <w:hyperlink r:id="rId11">
        <w:r>
          <w:rPr>
            <w:color w:val="0000EE"/>
            <w:u w:val="single"/>
          </w:rPr>
          <w:t>https://www.wiz.io/academy/api-abuse</w:t>
        </w:r>
      </w:hyperlink>
      <w:r>
        <w:t xml:space="preserve"> - Wiz discusses various forms of API abuse, including credential stuffing and account takeovers. Attackers exploit the tendency for password reuse by using stolen credentials to gain unauthorized access to accounts, often leading to fraudulent transactions. The article emphasizes the challenges in detecting such attacks due to their use of legitimate API functionality and the difficulty in differentiating between legitimate users and abusers.</w:t>
      </w:r>
      <w:r/>
    </w:p>
    <w:p>
      <w:pPr>
        <w:pStyle w:val="ListNumber"/>
        <w:spacing w:line="240" w:lineRule="auto"/>
        <w:ind w:left="720"/>
      </w:pPr>
      <w:r/>
      <w:hyperlink r:id="rId12">
        <w:r>
          <w:rPr>
            <w:color w:val="0000EE"/>
            <w:u w:val="single"/>
          </w:rPr>
          <w:t>https://www.globaldots.com/resources/blog/are-your-devops-your-biggest-security-risk/</w:t>
        </w:r>
      </w:hyperlink>
      <w:r>
        <w:t xml:space="preserve"> - GlobalDots highlights the risks associated with API misconfigurations in SaaS environments. The article notes that as SaaS applications grow, new APIs are added without full documentation or security reviews, leading to API sprawl. Misconfigurations, such as broken authentication and over-permissive binding, expose sensitive data and business logic, making APIs attractive targets for attackers seeking to exploit these vulnerabilities.</w:t>
      </w:r>
      <w:r/>
    </w:p>
    <w:p>
      <w:pPr>
        <w:pStyle w:val="ListNumber"/>
        <w:spacing w:line="240" w:lineRule="auto"/>
        <w:ind w:left="720"/>
      </w:pPr>
      <w:r/>
      <w:hyperlink r:id="rId14">
        <w:r>
          <w:rPr>
            <w:color w:val="0000EE"/>
            <w:u w:val="single"/>
          </w:rPr>
          <w:t>https://www.infosecurity-magazine.com/news/business-logic-abuse-api-attacks/</w:t>
        </w:r>
      </w:hyperlink>
      <w:r>
        <w:t xml:space="preserve"> - Infosecurity Magazine reports on the rise of business logic abuse in API attacks. The article explains that attackers exploit the intended functionality of APIs for malicious purposes, such as exfiltrating sensitive data or disrupting critical applications. These attacks are challenging to detect because they mimic legitimate API usage, making it difficult to differentiate from normal traffic. The financial impact includes increased fraud costs and reputational damage.</w:t>
      </w:r>
      <w:r/>
    </w:p>
    <w:p>
      <w:pPr>
        <w:pStyle w:val="ListNumber"/>
        <w:spacing w:line="240" w:lineRule="auto"/>
        <w:ind w:left="720"/>
      </w:pPr>
      <w:r/>
      <w:hyperlink r:id="rId13">
        <w:r>
          <w:rPr>
            <w:color w:val="0000EE"/>
            <w:u w:val="single"/>
          </w:rPr>
          <w:t>https://www.prophaze.com/blog/emerging-api-security-threats-2025/</w:t>
        </w:r>
      </w:hyperlink>
      <w:r>
        <w:t xml:space="preserve"> - Prophaze discusses emerging API security threats, focusing on business logic abuse. The article explains that these attacks exploit the intended functionality of APIs, such as manipulating workflows or accessing data in unintended ways. Business logic abuse accounted for 42% of API breaches in 2024 and often went undetected for over six months. The article emphasizes the need for baseline modeling of normal user behavior and custom rules tailored to business workflows to detect such abuses.</w:t>
      </w:r>
      <w:r/>
    </w:p>
    <w:p>
      <w:pPr>
        <w:pStyle w:val="ListNumber"/>
        <w:spacing w:line="240" w:lineRule="auto"/>
        <w:ind w:left="720"/>
      </w:pPr>
      <w:r/>
      <w:hyperlink r:id="rId15">
        <w:r>
          <w:rPr>
            <w:color w:val="0000EE"/>
            <w:u w:val="single"/>
          </w:rPr>
          <w:t>https://www.radware.com/cyberpedia/ddospedia/ddos-as-a-service/</w:t>
        </w:r>
      </w:hyperlink>
      <w:r>
        <w:t xml:space="preserve"> - Radware explores the concept of DDoS-as-a-Service in 2026, detailing how attackers use botnets and AI scripts to overwhelm APIs with massive traffic. The article discusses the risks associated with such attacks, including service downtime, poor user experience, and higher infrastructure costs. It also outlines best practices for preventing and responding to DDoS-as-a-Service, such as implementing web application firewalls, network segmentation, and coordinated incident response procedures.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ound.co.uk/cybersecurity/link11-identifies-five-cybersecurity-trends-european-defence-strategies-2026/" TargetMode="External"/><Relationship Id="rId10" Type="http://schemas.openxmlformats.org/officeDocument/2006/relationships/hyperlink" Target="https://www.kaspersky.com/about/press-releases/research-reveals-hacker-tactics-cybercriminals-use-ddos-as-smokescreen-for-other-attacks-on-business" TargetMode="External"/><Relationship Id="rId11" Type="http://schemas.openxmlformats.org/officeDocument/2006/relationships/hyperlink" Target="https://www.wiz.io/academy/api-abuse" TargetMode="External"/><Relationship Id="rId12" Type="http://schemas.openxmlformats.org/officeDocument/2006/relationships/hyperlink" Target="https://www.globaldots.com/resources/blog/are-your-devops-your-biggest-security-risk/" TargetMode="External"/><Relationship Id="rId13" Type="http://schemas.openxmlformats.org/officeDocument/2006/relationships/hyperlink" Target="https://www.prophaze.com/blog/emerging-api-security-threats-2025/" TargetMode="External"/><Relationship Id="rId14" Type="http://schemas.openxmlformats.org/officeDocument/2006/relationships/hyperlink" Target="https://www.infosecurity-magazine.com/news/business-logic-abuse-api-attacks/" TargetMode="External"/><Relationship Id="rId15" Type="http://schemas.openxmlformats.org/officeDocument/2006/relationships/hyperlink" Target="https://www.radware.com/cyberpedia/ddospedia/ddos-as-a-serv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