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stablecoin legislation marks a pivotal shift towards regulatory clarity and international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Stablecoins have plainly moved from a niche trading convenience into a centrepiece of U.S. financial policy, as Congress and the White House this summer delivered the clearest federal framework yet for payment tokens. According to reporting and legal analysis, the Guiding and Establishing National Innovation for U.S. Stablecoins Act (GENIUS Act), signed by President Donald Trump on July 18, 2025, establishes a statutory regime that removes much of the prior legal ambiguity around dollar‑pegged digital tokens. </w:t>
      </w:r>
      <w:r/>
    </w:p>
    <w:p>
      <w:r/>
      <w:r>
        <w:t xml:space="preserve">The GENIUS Act creates dual pathways for issuance: a federal licensing route intended for large issuers and bank‑chartered entities and a state route that allows smaller or state‑chartered firms to operate provided they meet baseline federal standards. According to legal briefs summarising the law, non‑financial firms are largely precluded from issuing payment stablecoins unless they obtain unanimous approval from a newly created interagency body, sharpening the line between incumbent financial institutions and other market entrants. </w:t>
      </w:r>
      <w:r/>
    </w:p>
    <w:p>
      <w:r/>
      <w:r>
        <w:t xml:space="preserve">Reserve and disclosure rules form the heart of the new regime. The legislation requires 1:1 backing of payment stablecoins in highly liquid, low‑risk assets, U.S. dollars, insured bank deposits, short‑dated Treasury securities and qualified repurchase agreements, and mandates monthly public disclosure of reserve compositions, with chief executives and chief financial officers required to certify reserve statements. Legal analyses describe these provisions as a marked shift toward enforceable transparency and executive accountability. </w:t>
      </w:r>
      <w:r/>
    </w:p>
    <w:p>
      <w:r/>
      <w:r>
        <w:t xml:space="preserve">Regulatory obligations extend beyond reserves. The GENIUS Act treats stablecoin issuers as financial institutions subject to Bank Secrecy Act obligations, including KYC, OFAC screening and suspicious activity reporting, and it contemplates technical controls that allow issuers or custodians to freeze, seize or “burn” tokens where lawfully required. The Act also excludes payment stablecoins from classification as securities or commodities for the moment, narrowing SEC and CFTC registration exposure while leaving fraud enforcement and other agency powers intact. </w:t>
      </w:r>
      <w:r/>
    </w:p>
    <w:p>
      <w:r/>
      <w:r>
        <w:t xml:space="preserve">Parallel to the GENIUS Act, the Digital Asset Market CLARITY Act, passed by the House on July 17, 2025 and pending final Senate action at the time of reporting, seeks to allocate regulatory authority among agencies by categorising digital assets into digital securities (SEC jurisdiction), digital commodities (CFTC jurisdiction) and stablecoins (subject to frameworks like the GENIUS Act). The CLARITY Act would also preserve the SEC’s fraud enforcement reach, narrow retroactive enforcement risk, and offer exemptions for non‑custodial developers whose protocols are truly decentralised while capturing centrally‑operated platforms and custodial services. </w:t>
      </w:r>
      <w:r/>
    </w:p>
    <w:p>
      <w:r/>
      <w:r>
        <w:t xml:space="preserve">Market and policy voices have already signalled both encouragement and caution. Industry commentators framed the measures as the long‑sought regulatory clarity that could accelerate mainstream adoption, while large financial players and global policymakers warned of cross‑border consequences. According to reporting, Amundi’s chief investment officer warned that the proliferation of dollar‑backed stablecoins could accelerate “dollarisation” abroad and potentially destabilise other countries’ payment systems, a reminder that domestic policy choices have international spillovers. </w:t>
      </w:r>
      <w:r/>
    </w:p>
    <w:p>
      <w:r/>
      <w:r>
        <w:t xml:space="preserve">For compliance teams, the twin Acts materially raise the bar. Firms face new licensing decisions, enhanced reserve accounting and certification processes, strengthened AML/CFT regimes, technical requirements for asset control, segregation and special creditor treatment in insolvency, and the practical task of coordinating oversight across OCC, CFTC, FinCEN and the SEC as applicable. Legal advisers and law‑firm briefings recommend immediate gap analyses and remediation planning to align legacy operations, or prospective stablecoin projects, with the statutory standards now in force. </w:t>
      </w:r>
      <w:r/>
    </w:p>
    <w:p>
      <w:r/>
      <w:r>
        <w:t xml:space="preserve">The legislative package does not settle every open question: implementation guidance from agencies, the composition and standards of the new interagency body, litigation risk and international regulatory responses remain to be seen. Nevertheless, the GENIUS and CLARITY Acts represent a decisive move away from regulatory uncertainty toward defined obligations for issuers and intermediaries, a development that, industry and legal observers agree, marks a significant inflection point for digital payments and tokenised finance. </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2, Paragraph 3, Paragraph 4, Paragraph 7, Paragraph 8</w:t>
      </w:r>
      <w:r/>
    </w:p>
    <w:p>
      <w:pPr>
        <w:pStyle w:val="ListBullet"/>
        <w:spacing w:line="240" w:lineRule="auto"/>
        <w:ind w:left="720"/>
      </w:pPr>
      <w:r/>
      <w:hyperlink r:id="rId10">
        <w:r>
          <w:rPr>
            <w:color w:val="0000EE"/>
            <w:u w:val="single"/>
          </w:rPr>
          <w:t>[2]</w:t>
        </w:r>
      </w:hyperlink>
      <w:r>
        <w:t xml:space="preserve"> (Reuters , House passage) - Paragraph 1, Paragraph 5</w:t>
      </w:r>
      <w:r/>
    </w:p>
    <w:p>
      <w:pPr>
        <w:pStyle w:val="ListBullet"/>
        <w:spacing w:line="240" w:lineRule="auto"/>
        <w:ind w:left="720"/>
      </w:pPr>
      <w:r/>
      <w:hyperlink r:id="rId11">
        <w:r>
          <w:rPr>
            <w:color w:val="0000EE"/>
            <w:u w:val="single"/>
          </w:rPr>
          <w:t>[3]</w:t>
        </w:r>
      </w:hyperlink>
      <w:r>
        <w:t xml:space="preserve"> (Reuters , Trump signs law) - Paragraph 1, Paragraph 4, Paragraph 6</w:t>
      </w:r>
      <w:r/>
    </w:p>
    <w:p>
      <w:pPr>
        <w:pStyle w:val="ListBullet"/>
        <w:spacing w:line="240" w:lineRule="auto"/>
        <w:ind w:left="720"/>
      </w:pPr>
      <w:r/>
      <w:hyperlink r:id="rId12">
        <w:r>
          <w:rPr>
            <w:color w:val="0000EE"/>
            <w:u w:val="single"/>
          </w:rPr>
          <w:t>[4]</w:t>
        </w:r>
      </w:hyperlink>
      <w:r>
        <w:t xml:space="preserve"> (Reuters , Amundi warning) - Paragraph 6</w:t>
      </w:r>
      <w:r/>
    </w:p>
    <w:p>
      <w:pPr>
        <w:pStyle w:val="ListBullet"/>
        <w:spacing w:line="240" w:lineRule="auto"/>
        <w:ind w:left="720"/>
      </w:pPr>
      <w:r/>
      <w:hyperlink r:id="rId13">
        <w:r>
          <w:rPr>
            <w:color w:val="0000EE"/>
            <w:u w:val="single"/>
          </w:rPr>
          <w:t>[5]</w:t>
        </w:r>
      </w:hyperlink>
      <w:r>
        <w:t xml:space="preserve"> (Covington) - Paragraph 2, Paragraph 3,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https://www.jdsupra.com/legalnews/the-big-leap-into-stablecoins-and-1063648/</w:t>
        </w:r>
      </w:hyperlink>
      <w:r>
        <w:t xml:space="preserve"> - Please view link - unable to able to access data</w:t>
      </w:r>
      <w:r/>
    </w:p>
    <w:p>
      <w:pPr>
        <w:pStyle w:val="ListNumber"/>
        <w:spacing w:line="240" w:lineRule="auto"/>
        <w:ind w:left="720"/>
      </w:pPr>
      <w:r/>
      <w:hyperlink r:id="rId10">
        <w:r>
          <w:rPr>
            <w:color w:val="0000EE"/>
            <w:u w:val="single"/>
          </w:rPr>
          <w:t>https://www.reuters.com/legal/government/us-house-passes-stablecoin-legislation-sending-bill-trump-2025-07-17/</w:t>
        </w:r>
      </w:hyperlink>
      <w:r>
        <w:t xml:space="preserve"> - On July 17, 2025, the U.S. House of Representatives passed the GENIUS Act, a bipartisan bill aimed at establishing a regulatory framework for stablecoins. The legislation mandates that stablecoins be backed by liquid assets such as U.S. dollars and short-term Treasury bills, and that issuers publicly disclose reserve compositions monthly. The bill now awaits President Donald Trump's signature to become law. This marks a significant milestone for the digital asset industry, which has long sought clearer regulatory guidelines.</w:t>
      </w:r>
      <w:r/>
    </w:p>
    <w:p>
      <w:pPr>
        <w:pStyle w:val="ListNumber"/>
        <w:spacing w:line="240" w:lineRule="auto"/>
        <w:ind w:left="720"/>
      </w:pPr>
      <w:r/>
      <w:hyperlink r:id="rId11">
        <w:r>
          <w:rPr>
            <w:color w:val="0000EE"/>
            <w:u w:val="single"/>
          </w:rPr>
          <w:t>https://www.reuters.com/legal/government/trump-signs-stablecoin-law-crypto-industry-aims-mainstream-adoption-2025-07-18/</w:t>
        </w:r>
      </w:hyperlink>
      <w:r>
        <w:t xml:space="preserve"> - On July 18, 2025, President Donald Trump signed the GENIUS Act into law, establishing a regulatory framework for stablecoins—cryptocurrencies pegged to the U.S. dollar. The law requires stablecoin issuers to back their coins with liquid assets like U.S. dollars and Treasury bills, and mandates monthly public disclosure of reserve compositions. This legislation is seen as a major milestone for the crypto industry, aiming to enhance consumer protections and boost mainstream adoption of digital assets.</w:t>
      </w:r>
      <w:r/>
    </w:p>
    <w:p>
      <w:pPr>
        <w:pStyle w:val="ListNumber"/>
        <w:spacing w:line="240" w:lineRule="auto"/>
        <w:ind w:left="720"/>
      </w:pPr>
      <w:r/>
      <w:hyperlink r:id="rId12">
        <w:r>
          <w:rPr>
            <w:color w:val="0000EE"/>
            <w:u w:val="single"/>
          </w:rPr>
          <w:t>https://www.reuters.com/business/finance/amundi-warns-us-stablecoin-policy-could-destabilise-global-payments-system-2025-07-03/</w:t>
        </w:r>
      </w:hyperlink>
      <w:r>
        <w:t xml:space="preserve"> - Amundi, Europe's largest asset manager, has expressed concerns about the potential global impact of the U.S. Senate's recently passed GENIUS Act, which establishes a regulatory framework for U.S. dollar-pegged stablecoins. Vincent Mortier, Amundi’s Chief Investment Officer, warned that the proliferation of dollar-backed stablecoins may lead to destabilisation of the global payments system by accelerating the dollarisation of foreign economies. This could undermine other countries’ monetary sovereignty and pose risks to global financial stability.</w:t>
      </w:r>
      <w:r/>
    </w:p>
    <w:p>
      <w:pPr>
        <w:pStyle w:val="ListNumber"/>
        <w:spacing w:line="240" w:lineRule="auto"/>
        <w:ind w:left="720"/>
      </w:pPr>
      <w:r/>
      <w:hyperlink r:id="rId13">
        <w:r>
          <w:rPr>
            <w:color w:val="0000EE"/>
            <w:u w:val="single"/>
          </w:rPr>
          <w:t>https://www.cov.com/en/news-and-insights/insights/2025/07/the-genius-act-becomes-law-key-provisions-from-the-federal-stablecoin-regulatory-framework</w:t>
        </w:r>
      </w:hyperlink>
      <w:r>
        <w:t xml:space="preserve"> - The GENIUS Act, signed into law on July 18, 2025, introduces key provisions for regulating stablecoins in the U.S. Notably, only certain federally or state-approved entities may issue payment stablecoins. Non-financial firms are generally prohibited from issuing stablecoins unless they receive unanimous approval from a new federal interagency body. The Act also requires issuers to maintain 1:1 reserves in highly liquid, low-risk assets and to publicly disclose reserve compositions monthly, enhancing transparency and consumer protection.</w:t>
      </w:r>
      <w:r/>
    </w:p>
    <w:p>
      <w:pPr>
        <w:pStyle w:val="ListNumber"/>
        <w:spacing w:line="240" w:lineRule="auto"/>
        <w:ind w:left="720"/>
      </w:pPr>
      <w:r/>
      <w:hyperlink r:id="rId13">
        <w:r>
          <w:rPr>
            <w:color w:val="0000EE"/>
            <w:u w:val="single"/>
          </w:rPr>
          <w:t>https://www.cov.com/en/news-and-insights/insights/2025/07/the-genius-act-becomes-law-key-provisions-from-the-federal-stablecoin-regulatory-framework</w:t>
        </w:r>
      </w:hyperlink>
      <w:r>
        <w:t xml:space="preserve"> - The GENIUS Act, signed into law on July 18, 2025, introduces key provisions for regulating stablecoins in the U.S. Notably, only certain federally or state-approved entities may issue payment stablecoins. Non-financial firms are generally prohibited from issuing stablecoins unless they receive unanimous approval from a new federal interagency body. The Act also requires issuers to maintain 1:1 reserves in highly liquid, low-risk assets and to publicly disclose reserve compositions monthly, enhancing transparency and consumer protection.</w:t>
      </w:r>
      <w:r/>
    </w:p>
    <w:p>
      <w:pPr>
        <w:pStyle w:val="ListNumber"/>
        <w:spacing w:line="240" w:lineRule="auto"/>
        <w:ind w:left="720"/>
      </w:pPr>
      <w:r/>
      <w:hyperlink r:id="rId13">
        <w:r>
          <w:rPr>
            <w:color w:val="0000EE"/>
            <w:u w:val="single"/>
          </w:rPr>
          <w:t>https://www.cov.com/en/news-and-insights/insights/2025/07/the-genius-act-becomes-law-key-provisions-from-the-federal-stablecoin-regulatory-framework</w:t>
        </w:r>
      </w:hyperlink>
      <w:r>
        <w:t xml:space="preserve"> - The GENIUS Act, signed into law on July 18, 2025, introduces key provisions for regulating stablecoins in the U.S. Notably, only certain federally or state-approved entities may issue payment stablecoins. Non-financial firms are generally prohibited from issuing stablecoins unless they receive unanimous approval from a new federal interagency body. The Act also requires issuers to maintain 1:1 reserves in highly liquid, low-risk assets and to publicly disclose reserve compositions monthly, enhancing transparency and consumer protection.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e-big-leap-into-stablecoins-and-1063648/" TargetMode="External"/><Relationship Id="rId10" Type="http://schemas.openxmlformats.org/officeDocument/2006/relationships/hyperlink" Target="https://www.reuters.com/legal/government/us-house-passes-stablecoin-legislation-sending-bill-trump-2025-07-17/" TargetMode="External"/><Relationship Id="rId11" Type="http://schemas.openxmlformats.org/officeDocument/2006/relationships/hyperlink" Target="https://www.reuters.com/legal/government/trump-signs-stablecoin-law-crypto-industry-aims-mainstream-adoption-2025-07-18/" TargetMode="External"/><Relationship Id="rId12" Type="http://schemas.openxmlformats.org/officeDocument/2006/relationships/hyperlink" Target="https://www.reuters.com/business/finance/amundi-warns-us-stablecoin-policy-could-destabilise-global-payments-system-2025-07-03/" TargetMode="External"/><Relationship Id="rId13" Type="http://schemas.openxmlformats.org/officeDocument/2006/relationships/hyperlink" Target="https://www.cov.com/en/news-and-insights/insights/2025/07/the-genius-act-becomes-law-key-provisions-from-the-federal-stablecoin-regulatory-framework"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