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 advances from policy drafts to real implementation in financial overhaul with digital resilience and fiscal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Europe's long‑mooted overhaul of its financial rulebook has moved decisively from policy drafts into implementation,with a web of deadlines and supervisory powers now testing whether Brussels' ambitions can be converted into resilient systems rather than slogans. </w:t>
      </w:r>
      <w:hyperlink r:id="rId9">
        <w:r>
          <w:rPr>
            <w:color w:val="0000EE"/>
            <w:u w:val="single"/>
          </w:rPr>
          <w:t>[1]</w:t>
        </w:r>
      </w:hyperlink>
      <w:r/>
    </w:p>
    <w:p>
      <w:r/>
      <w:r>
        <w:t xml:space="preserve">DORA, the Digital Operational Resilience Act, is one of the clearest examples of that shift,having become binding for all financial entities on 17 January 2025,according to the European Union Agency for Cybersecurity (ENISA). The regulation gives the European Supervisory Authorities direct roles in overseeing critical third‑party ICT providers and creates new channels of cooperation between regulators,financial firms and the tech companies that increasingly underpin banking and insurance infrastructure. </w:t>
      </w:r>
      <w:hyperlink r:id="rId9">
        <w:r>
          <w:rPr>
            <w:color w:val="0000EE"/>
            <w:u w:val="single"/>
          </w:rPr>
          <w:t>[1]</w:t>
        </w:r>
      </w:hyperlink>
      <w:hyperlink r:id="rId10">
        <w:r>
          <w:rPr>
            <w:color w:val="0000EE"/>
            <w:u w:val="single"/>
          </w:rPr>
          <w:t>[2]</w:t>
        </w:r>
      </w:hyperlink>
      <w:hyperlink r:id="rId11">
        <w:r>
          <w:rPr>
            <w:color w:val="0000EE"/>
            <w:u w:val="single"/>
          </w:rPr>
          <w:t>[6]</w:t>
        </w:r>
      </w:hyperlink>
      <w:r/>
    </w:p>
    <w:p>
      <w:r/>
      <w:r>
        <w:t xml:space="preserve">The law's design fast‑forwards what was previously a fragmented supervisory picture:critical provider designations are to be completed by the end of 2025 and,according to the roadmap set out by the ESAs,tailored risk assessments and annual oversight plans should be in place from 2026. ENISA's June 2024 memorandum of understanding with the EBA,EIOPA and ESMA is intended to drive the convergence and information exchange required for consistent enforcement across member states. </w:t>
      </w:r>
      <w:hyperlink r:id="rId9">
        <w:r>
          <w:rPr>
            <w:color w:val="0000EE"/>
            <w:u w:val="single"/>
          </w:rPr>
          <w:t>[1]</w:t>
        </w:r>
      </w:hyperlink>
      <w:hyperlink r:id="rId10">
        <w:r>
          <w:rPr>
            <w:color w:val="0000EE"/>
            <w:u w:val="single"/>
          </w:rPr>
          <w:t>[2]</w:t>
        </w:r>
      </w:hyperlink>
      <w:hyperlink r:id="rId11">
        <w:r>
          <w:rPr>
            <w:color w:val="0000EE"/>
            <w:u w:val="single"/>
          </w:rPr>
          <w:t>[6]</w:t>
        </w:r>
      </w:hyperlink>
      <w:r/>
    </w:p>
    <w:p>
      <w:r/>
      <w:r>
        <w:t xml:space="preserve">At the same time,the revived Stability and Growth Pact is enforcing fiscal discipline through a more flexible choreography than before,with extended adjustment periods conditional on structural reforms and green and digital investment. The Council of the European Union has already used the Pact's tools this year,opening new excessive deficit procedures and issuing corrective recommendations to a number of member states as part of the new governance framework. </w:t>
      </w:r>
      <w:hyperlink r:id="rId9">
        <w:r>
          <w:rPr>
            <w:color w:val="0000EE"/>
            <w:u w:val="single"/>
          </w:rPr>
          <w:t>[1]</w:t>
        </w:r>
      </w:hyperlink>
      <w:hyperlink r:id="rId12">
        <w:r>
          <w:rPr>
            <w:color w:val="0000EE"/>
            <w:u w:val="single"/>
          </w:rPr>
          <w:t>[3]</w:t>
        </w:r>
      </w:hyperlink>
      <w:hyperlink r:id="rId13">
        <w:r>
          <w:rPr>
            <w:color w:val="0000EE"/>
            <w:u w:val="single"/>
          </w:rPr>
          <w:t>[4]</w:t>
        </w:r>
      </w:hyperlink>
      <w:hyperlink r:id="rId14">
        <w:r>
          <w:rPr>
            <w:color w:val="0000EE"/>
            <w:u w:val="single"/>
          </w:rPr>
          <w:t>[5]</w:t>
        </w:r>
      </w:hyperlink>
      <w:r/>
    </w:p>
    <w:p>
      <w:r/>
      <w:r>
        <w:t xml:space="preserve">Brussels' November 2024 review underlined that most medium‑term plans were accepted in principle,but execution remains the decisive test;national pledges must translate into observable budgetary outcomes. That tension plays out in member states' roadmaps,a point illustrated by Spain where decarbonisation commitments sit alongside cautiously framed labour market measures, reforms that may remain politically fraught until implementation inflicts short‑term costs. </w:t>
      </w:r>
      <w:hyperlink r:id="rId9">
        <w:r>
          <w:rPr>
            <w:color w:val="0000EE"/>
            <w:u w:val="single"/>
          </w:rPr>
          <w:t>[1]</w:t>
        </w:r>
      </w:hyperlink>
      <w:hyperlink r:id="rId13">
        <w:r>
          <w:rPr>
            <w:color w:val="0000EE"/>
            <w:u w:val="single"/>
          </w:rPr>
          <w:t>[4]</w:t>
        </w:r>
      </w:hyperlink>
      <w:r/>
    </w:p>
    <w:p>
      <w:r/>
      <w:r>
        <w:t xml:space="preserve">The digital euro has quietly shifted from concept to technical preparedness,the ECB completing a preparatory phase in October 2025 and signalling a pilot could begin as early as 2027 if authorised by lawmakers. The project is being presented as a public good designed to preserve monetary sovereignty in a payments landscape shaped by foreign central bank digital currencies and private stablecoins,with privacy and offline‑functionality built into its architecture. </w:t>
      </w:r>
      <w:hyperlink r:id="rId9">
        <w:r>
          <w:rPr>
            <w:color w:val="0000EE"/>
            <w:u w:val="single"/>
          </w:rPr>
          <w:t>[1]</w:t>
        </w:r>
      </w:hyperlink>
      <w:r/>
    </w:p>
    <w:p>
      <w:r/>
      <w:r>
        <w:t xml:space="preserve">Beyond internal reforms,the EU has mobilised instruments with geopolitical urgency. The Ukraine Facility entered full implementation in 2025 and represents both a reconstruction effort and a test of Brussels' ability to align oversight,auditing and fintech standards with partner countries while protecting the integrity of funds and local financial systems. Meanwhile,the Capital Markets Union, intended to reduce fragmentation and broaden equity finance, remains an unfinished priority the Commission aims to accelerate. </w:t>
      </w:r>
      <w:hyperlink r:id="rId9">
        <w:r>
          <w:rPr>
            <w:color w:val="0000EE"/>
            <w:u w:val="single"/>
          </w:rPr>
          <w:t>[1]</w:t>
        </w:r>
      </w:hyperlink>
      <w:r/>
    </w:p>
    <w:p>
      <w:r/>
      <w:r>
        <w:t xml:space="preserve">The European Banking Authority faces one of its most complex mandates in living memory,balancing climate‑integrated stress testing,implementation of Basel III and new direct oversight responsibilities under MiCA and DORA. Industry data and the ESAs' roadmaps make plain that operationalising these roles will be technically demanding and politically charged. </w:t>
      </w:r>
      <w:hyperlink r:id="rId9">
        <w:r>
          <w:rPr>
            <w:color w:val="0000EE"/>
            <w:u w:val="single"/>
          </w:rPr>
          <w:t>[1]</w:t>
        </w:r>
      </w:hyperlink>
      <w:hyperlink r:id="rId11">
        <w:r>
          <w:rPr>
            <w:color w:val="0000EE"/>
            <w:u w:val="single"/>
          </w:rPr>
          <w:t>[6]</w:t>
        </w:r>
      </w:hyperlink>
      <w:r/>
    </w:p>
    <w:p>
      <w:r/>
      <w:r>
        <w:t xml:space="preserve">For policymakers,2026 is shaping up less as a finish line than as a rigorous trial of implementation. The rules exist,the institutions have been empowered and the clocks are ticking;success will depend on the authorities' ability to synchronise fiscal realism,digital resilience and political willingness across a sharply diverse union. If they deliver,the EU model may emerge as a pragmatic template for combining regulation and innovation while shielding the eurozone from future shocks.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(Fortune Herald) - Paragraph 1, Paragraph 2, Paragraph 3, Paragraph 4, Paragraph 5, Paragraph 6, Paragraph 7, Paragraph 8, Paragraph 9</w:t>
      </w:r>
      <w:r/>
    </w:p>
    <w:p>
      <w:pPr>
        <w:pStyle w:val="ListBullet"/>
        <w:spacing w:line="240" w:lineRule="auto"/>
        <w:ind w:left="720"/>
      </w:pPr>
      <w:r/>
      <w:hyperlink r:id="rId10">
        <w:r>
          <w:rPr>
            <w:color w:val="0000EE"/>
            <w:u w:val="single"/>
          </w:rPr>
          <w:t>[2]</w:t>
        </w:r>
      </w:hyperlink>
      <w:r>
        <w:t xml:space="preserve"> (ENISA) - Paragraph 2, Paragraph 3</w:t>
      </w:r>
      <w:r/>
    </w:p>
    <w:p>
      <w:pPr>
        <w:pStyle w:val="ListBullet"/>
        <w:spacing w:line="240" w:lineRule="auto"/>
        <w:ind w:left="720"/>
      </w:pPr>
      <w:r/>
      <w:hyperlink r:id="rId11">
        <w:r>
          <w:rPr>
            <w:color w:val="0000EE"/>
            <w:u w:val="single"/>
          </w:rPr>
          <w:t>[6]</w:t>
        </w:r>
      </w:hyperlink>
      <w:r>
        <w:t xml:space="preserve"> (European Banking Authority) - Paragraph 2, Paragraph 3, Paragraph 8</w:t>
      </w:r>
      <w:r/>
    </w:p>
    <w:p>
      <w:pPr>
        <w:pStyle w:val="ListBullet"/>
        <w:spacing w:line="240" w:lineRule="auto"/>
        <w:ind w:left="720"/>
      </w:pPr>
      <w:r/>
      <w:hyperlink r:id="rId12">
        <w:r>
          <w:rPr>
            <w:color w:val="0000EE"/>
            <w:u w:val="single"/>
          </w:rPr>
          <w:t>[3]</w:t>
        </w:r>
      </w:hyperlink>
      <w:r>
        <w:t xml:space="preserve"> (Council of the European Union) - Paragraph 4</w:t>
      </w:r>
      <w:r/>
    </w:p>
    <w:p>
      <w:pPr>
        <w:pStyle w:val="ListBullet"/>
        <w:spacing w:line="240" w:lineRule="auto"/>
        <w:ind w:left="720"/>
      </w:pPr>
      <w:r/>
      <w:hyperlink r:id="rId13">
        <w:r>
          <w:rPr>
            <w:color w:val="0000EE"/>
            <w:u w:val="single"/>
          </w:rPr>
          <w:t>[4]</w:t>
        </w:r>
      </w:hyperlink>
      <w:r>
        <w:t xml:space="preserve"> (Council of the European Union) - Paragraph 4, Paragraph 5</w:t>
      </w:r>
      <w:r/>
    </w:p>
    <w:p>
      <w:pPr>
        <w:pStyle w:val="ListBullet"/>
        <w:spacing w:line="240" w:lineRule="auto"/>
        <w:ind w:left="720"/>
      </w:pPr>
      <w:r/>
      <w:hyperlink r:id="rId14">
        <w:r>
          <w:rPr>
            <w:color w:val="0000EE"/>
            <w:u w:val="single"/>
          </w:rPr>
          <w:t>[5]</w:t>
        </w:r>
      </w:hyperlink>
      <w:r>
        <w:t xml:space="preserve"> (Council of the European Union) -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https://fortuneherald.com/finance/why-europes-financial-rulebook-is-finally-being-put-to-work/</w:t>
        </w:r>
      </w:hyperlink>
      <w:r>
        <w:t xml:space="preserve"> - Please view link - unable to able to access data</w:t>
      </w:r>
      <w:r/>
    </w:p>
    <w:p>
      <w:pPr>
        <w:pStyle w:val="ListNumber"/>
        <w:spacing w:line="240" w:lineRule="auto"/>
        <w:ind w:left="720"/>
      </w:pPr>
      <w:r/>
      <w:hyperlink r:id="rId10">
        <w:r>
          <w:rPr>
            <w:color w:val="0000EE"/>
            <w:u w:val="single"/>
          </w:rPr>
          <w:t>https://www.enisa.europa.eu/news/eu-financial-entities-cybersecurity-upgrade-dora-is-now-alive-and-kicking</w:t>
        </w:r>
      </w:hyperlink>
      <w:r>
        <w:t xml:space="preserve"> - The European Union Agency for Cybersecurity (ENISA) announced that the Digital Operational Resilience Act (DORA) became binding on 17 January 2025 for all financial entities across the EU. DORA aims to strengthen digital operational resilience and oversight over Critical Third-party ICT Providers (CTPPs). ENISA signed a Memorandum of Understanding with the European Supervisory Authorities (EBA, EIOPA, and ESMA) in June 2024 to enhance cooperation and information exchange on tasks of mutual interest, including policy implementation. This agreement supports regulatory convergence and consistency across Member States to reinforce the cybersecurity resilience of essential services such as financial entities.</w:t>
      </w:r>
      <w:r/>
    </w:p>
    <w:p>
      <w:pPr>
        <w:pStyle w:val="ListNumber"/>
        <w:spacing w:line="240" w:lineRule="auto"/>
        <w:ind w:left="720"/>
      </w:pPr>
      <w:r/>
      <w:hyperlink r:id="rId12">
        <w:r>
          <w:rPr>
            <w:color w:val="0000EE"/>
            <w:u w:val="single"/>
          </w:rPr>
          <w:t>https://www.consilium.europa.eu/en/press/press-releases/2025/07/08/stability-and-growth-pact-council-opens-new-excessive-deficit-procedure-for-austria-and-revises-the-corrective-path-for-romania</w:t>
        </w:r>
      </w:hyperlink>
      <w:r>
        <w:t xml:space="preserve"> - On 8 July 2025, the Council of the European Union opened a new excessive deficit procedure (EDP) concerning Austria and revised Romania’s net expenditure path due to its lack of effective action under its EDP, originally opened in 2020. The EDP is a mechanism designed to ensure that EU member states maintain or return to discipline in their governments’ budgets. The Council also endorsed the maximum net expenditure paths for Austria and Lithuania in the period ahead, as laid out in those countries’ national medium-term fiscal-structural plans.</w:t>
      </w:r>
      <w:r/>
    </w:p>
    <w:p>
      <w:pPr>
        <w:pStyle w:val="ListNumber"/>
        <w:spacing w:line="240" w:lineRule="auto"/>
        <w:ind w:left="720"/>
      </w:pPr>
      <w:r/>
      <w:hyperlink r:id="rId13">
        <w:r>
          <w:rPr>
            <w:color w:val="0000EE"/>
            <w:u w:val="single"/>
          </w:rPr>
          <w:t>https://www.consilium.europa.eu/en/press/press-releases/2025/01/21/stability-and-growth-pact-council-adopts-recommendations-to-countries-under-excessive-deficit-procedure</w:t>
        </w:r>
      </w:hyperlink>
      <w:r>
        <w:t xml:space="preserve"> - On 21 January 2025, the Council of the European Union adopted recommendations for seven countries—Belgium, France, Italy, Malta, Poland, Slovakia, and Romania—to correct their excessive deficit situations within a set time period. The recommendations contain a corrective budgetary path, expressed in numerical terms, and a deadline for each member state. These are in line with each member state's objectives, expressed in their medium-term fiscal-structural plans, submitted in the context of the implementation of the EU’s new economic governance framework.</w:t>
      </w:r>
      <w:r/>
    </w:p>
    <w:p>
      <w:pPr>
        <w:pStyle w:val="ListNumber"/>
        <w:spacing w:line="240" w:lineRule="auto"/>
        <w:ind w:left="720"/>
      </w:pPr>
      <w:r/>
      <w:hyperlink r:id="rId14">
        <w:r>
          <w:rPr>
            <w:color w:val="0000EE"/>
            <w:u w:val="single"/>
          </w:rPr>
          <w:t>https://www.consilium.europa.eu/en/press/press-releases/2025/06/20/stability-and-growth-pact-council-decides-on-way-ahead-for-belgium-and-romania-under-the-excessive-deficit-procedure</w:t>
        </w:r>
      </w:hyperlink>
      <w:r>
        <w:t xml:space="preserve"> - On 20 June 2025, the Council of the European Union approved a decision regarding Romania and a recommendation to Belgium under the excessive deficit procedure (EDP). The Council launched an EDP against Romania on 3 April 2020 with a view to bringing its excessive deficit to an end. However, Romania continues to run high government deficits which exceed the 3% reference value set in the Treaties. The Council's decision establishes that Romania has not taken effective action in response to Council recommendations, opening the way for possible further steps if Romania does not take swift action to reduce its budgetary imbalances.</w:t>
      </w:r>
      <w:r/>
    </w:p>
    <w:p>
      <w:pPr>
        <w:pStyle w:val="ListNumber"/>
        <w:spacing w:line="240" w:lineRule="auto"/>
        <w:ind w:left="720"/>
      </w:pPr>
      <w:r/>
      <w:hyperlink r:id="rId11">
        <w:r>
          <w:rPr>
            <w:color w:val="0000EE"/>
            <w:u w:val="single"/>
          </w:rPr>
          <w:t>https://www.eba.europa.eu/activities/direct-supervision-and-oversight/digital-operational-resilience-act</w:t>
        </w:r>
      </w:hyperlink>
      <w:r>
        <w:t xml:space="preserve"> - The Digital Operational Resilience Act (DORA) establishes a comprehensive framework on digital operational resilience for EU financial entities. While all financial sector entities will be subject to DORA, ICT third-party providers who provide ICT services to financial entities and are identified as critical (critical third-party providers - CTPPs), will be subject to an EU oversight framework. The DORA oversight framework assigns to the three European Supervisory Authorities - ESAs (i.e. European Banking Authority – EBA, European Securities and Markets Authority - ESMA, European Insurance and Occupational Pension Authority - EIOPA) the role of Lead Overseer, to ensure that CTPPs are adequately monitored on a Pan-European scale, for the risks that they may pose to EU financial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rtuneherald.com/finance/why-europes-financial-rulebook-is-finally-being-put-to-work/" TargetMode="External"/><Relationship Id="rId10" Type="http://schemas.openxmlformats.org/officeDocument/2006/relationships/hyperlink" Target="https://www.enisa.europa.eu/news/eu-financial-entities-cybersecurity-upgrade-dora-is-now-alive-and-kicking" TargetMode="External"/><Relationship Id="rId11" Type="http://schemas.openxmlformats.org/officeDocument/2006/relationships/hyperlink" Target="https://www.eba.europa.eu/activities/direct-supervision-and-oversight/digital-operational-resilience-act" TargetMode="External"/><Relationship Id="rId12" Type="http://schemas.openxmlformats.org/officeDocument/2006/relationships/hyperlink" Target="https://www.consilium.europa.eu/en/press/press-releases/2025/07/08/stability-and-growth-pact-council-opens-new-excessive-deficit-procedure-for-austria-and-revises-the-corrective-path-for-romania" TargetMode="External"/><Relationship Id="rId13" Type="http://schemas.openxmlformats.org/officeDocument/2006/relationships/hyperlink" Target="https://www.consilium.europa.eu/en/press/press-releases/2025/01/21/stability-and-growth-pact-council-adopts-recommendations-to-countries-under-excessive-deficit-procedure" TargetMode="External"/><Relationship Id="rId14" Type="http://schemas.openxmlformats.org/officeDocument/2006/relationships/hyperlink" Target="https://www.consilium.europa.eu/en/press/press-releases/2025/06/20/stability-and-growth-pact-council-decides-on-way-ahead-for-belgium-and-romania-under-the-excessive-deficit-procedur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