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firms must optimise structured data and local visibility to compete in AI-driven policy comparison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Insurance providers face a fast-shifting discovery landscape as generative AI moves from summarising search results to synthesising multi-plan policy comparisons; the brands and brokers that present clear, structured, locally authoritative data are more likely to be included in an AI model’s short list while others risk being omitted entirely. </w:t>
      </w:r>
      <w:hyperlink r:id="rId9">
        <w:r>
          <w:rPr>
            <w:color w:val="0000EE"/>
            <w:u w:val="single"/>
          </w:rPr>
          <w:t>[1]</w:t>
        </w:r>
      </w:hyperlink>
      <w:hyperlink r:id="rId9">
        <w:r>
          <w:rPr>
            <w:color w:val="0000EE"/>
            <w:u w:val="single"/>
          </w:rPr>
          <w:t>[2]</w:t>
        </w:r>
      </w:hyperlink>
      <w:r/>
    </w:p>
    <w:p>
      <w:r/>
      <w:r>
        <w:t xml:space="preserve">Generative Engine Optimisation (GEO) reframes visibility away from single-page rankings toward becoming the source material that AI systems select when assembling comparative answers. According to Single Grain, generative engines build responses from a blend of public websites, government marketplaces, reviews, knowledge panels, and structured datasets,so insurers must treat SEO, local listings, and product content as a joined strategy rather than disconnected tasks. </w:t>
      </w:r>
      <w:hyperlink r:id="rId9">
        <w:r>
          <w:rPr>
            <w:color w:val="0000EE"/>
            <w:u w:val="single"/>
          </w:rPr>
          <w:t>[1]</w:t>
        </w:r>
      </w:hyperlink>
      <w:hyperlink r:id="rId9">
        <w:r>
          <w:rPr>
            <w:color w:val="0000EE"/>
            <w:u w:val="single"/>
          </w:rPr>
          <w:t>[2]</w:t>
        </w:r>
      </w:hyperlink>
      <w:r/>
    </w:p>
    <w:p>
      <w:r/>
      <w:r>
        <w:t xml:space="preserve">Practically, GEO rests on four coordinated building blocks: authoritative, consumer-friendly policy content; structured, machine-readable plan data; consistent local entity signals for agents and offices; and technical site health that ensures pages are crawlable and trusted. Industry commentary emphasises that these elements together turn a web presence into the “rich, structured surface area” generative models will rely on when comparing plans. </w:t>
      </w:r>
      <w:hyperlink r:id="rId9">
        <w:r>
          <w:rPr>
            <w:color w:val="0000EE"/>
            <w:u w:val="single"/>
          </w:rPr>
          <w:t>[1]</w:t>
        </w:r>
      </w:hyperlink>
      <w:hyperlink r:id="rId9">
        <w:r>
          <w:rPr>
            <w:color w:val="0000EE"/>
            <w:u w:val="single"/>
          </w:rPr>
          <w:t>[2]</w:t>
        </w:r>
      </w:hyperlink>
      <w:r/>
    </w:p>
    <w:p>
      <w:r/>
      <w:r>
        <w:t xml:space="preserve">A major operational challenge is that many carriers still present plan grids only in PDFs or portals that are difficult for crawlers and models to parse. The recommended remedy is to publish public-facing comparison pages with standardised HTML tables and JSON-LD or other schema markup so attributes such as premium ranges, deductibles, maximum out-of-pocket, network type and key drug-coverage notes are exposed as discrete, labelled fields. Single Grain notes that this format both aids model ingestion and allows third-party comparison tools to ingest data consistently. </w:t>
      </w:r>
      <w:hyperlink r:id="rId9">
        <w:r>
          <w:rPr>
            <w:color w:val="0000EE"/>
            <w:u w:val="single"/>
          </w:rPr>
          <w:t>[1]</w:t>
        </w:r>
      </w:hyperlink>
      <w:hyperlink r:id="rId9">
        <w:r>
          <w:rPr>
            <w:color w:val="0000EE"/>
            <w:u w:val="single"/>
          </w:rPr>
          <w:t>[2]</w:t>
        </w:r>
      </w:hyperlink>
      <w:r/>
    </w:p>
    <w:p>
      <w:r/>
      <w:r>
        <w:t xml:space="preserve">For organisations with large product catalogues, Single Grain suggests a central policy data hub that emits human-readable pages plus machine-readable feeds, CSVs or APIs where regulation allows. That approach establishes a single source of truth and, when combined with strict governance workflows tying content to filed rates and standardised documents, reduces the risk that AI will surface outdated or non‑compliant descriptions. </w:t>
      </w:r>
      <w:hyperlink r:id="rId9">
        <w:r>
          <w:rPr>
            <w:color w:val="0000EE"/>
            <w:u w:val="single"/>
          </w:rPr>
          <w:t>[1]</w:t>
        </w:r>
      </w:hyperlink>
      <w:hyperlink r:id="rId9">
        <w:r>
          <w:rPr>
            <w:color w:val="0000EE"/>
            <w:u w:val="single"/>
          </w:rPr>
          <w:t>[2]</w:t>
        </w:r>
      </w:hyperlink>
      <w:r/>
    </w:p>
    <w:p>
      <w:r/>
      <w:r>
        <w:t xml:space="preserve">Local visibility remains critical when users ask generative assistants for “best Medicare broker near me” or market-specific help. Consistent NAP (name,address,phone) data across Google Business Profiles, maps and insurance directories, plus well-crafted local hub pages describing service areas, carrier focus, provider networks and region-specific enrollment rules, materially increases the chance that an AI model will recommend a given agency. Single Grain’s guidance mirrors well-established local SEO fundamentals but reframes them as inputs to generative engines. </w:t>
      </w:r>
      <w:hyperlink r:id="rId9">
        <w:r>
          <w:rPr>
            <w:color w:val="0000EE"/>
            <w:u w:val="single"/>
          </w:rPr>
          <w:t>[1]</w:t>
        </w:r>
      </w:hyperlink>
      <w:hyperlink r:id="rId9">
        <w:r>
          <w:rPr>
            <w:color w:val="0000EE"/>
            <w:u w:val="single"/>
          </w:rPr>
          <w:t>[2]</w:t>
        </w:r>
      </w:hyperlink>
      <w:r/>
    </w:p>
    <w:p>
      <w:r/>
      <w:r>
        <w:t xml:space="preserve">The commercial market is already seeing complementary tooling: platforms such as InsurGrid and Sonant offer AI-driven policy-comparison utilities that extract and contrast coverage details from uploaded policy PDFs,speeding agent workflows and improving close rates; these tools illustrate both demand for machine-readable comparisons and the practical value of structured policy data for agents and customers alike. </w:t>
      </w:r>
      <w:hyperlink r:id="rId10">
        <w:r>
          <w:rPr>
            <w:color w:val="0000EE"/>
            <w:u w:val="single"/>
          </w:rPr>
          <w:t>[3]</w:t>
        </w:r>
      </w:hyperlink>
      <w:hyperlink r:id="rId11">
        <w:r>
          <w:rPr>
            <w:color w:val="0000EE"/>
            <w:u w:val="single"/>
          </w:rPr>
          <w:t>[4]</w:t>
        </w:r>
      </w:hyperlink>
      <w:r/>
    </w:p>
    <w:p>
      <w:r/>
      <w:r>
        <w:t xml:space="preserve">Beyond discovery and tooling, market-level data show why insurers are investing in AI capabilities more broadly. Analysis by Klover.ai ranking firms in the Evident AI Insurance Index and industry statistics compiled by CoinLaw point to substantive operational gains, faster claims processing, lower administrative costs and improved fraud detection, reinforcing that AI is reshaping both distribution and back‑office economics in insurance. These macro trends increase the strategic importance of GEO for acquisition economics and competitive positioning. </w:t>
      </w:r>
      <w:hyperlink r:id="rId12">
        <w:r>
          <w:rPr>
            <w:color w:val="0000EE"/>
            <w:u w:val="single"/>
          </w:rPr>
          <w:t>[5]</w:t>
        </w:r>
      </w:hyperlink>
      <w:hyperlink r:id="rId13">
        <w:r>
          <w:rPr>
            <w:color w:val="0000EE"/>
            <w:u w:val="single"/>
          </w:rPr>
          <w:t>[6]</w:t>
        </w:r>
      </w:hyperlink>
      <w:r/>
    </w:p>
    <w:p>
      <w:r/>
      <w:r>
        <w:t xml:space="preserve">Single Grain recommends a disciplined 90‑day programme to operationalise GEO: audit and baseline AI visibility; implement flagship AI‑friendly assets and local hubs for priority lines and metros; then scale with controlled experimentation and measurement tied to CRM attribution. For teams that lack internal bandwidth, Single Grain and specialist SEVO/GEO partners are presented as options to accelerate implementation,while experimentation platforms such as ClickFlow can be used to test titles, FAQ phrasing and on‑page structure to determine what drives engagement and stronger model signals. The long-term aim is to institutionalise GEO across product, compliance, marketing and distribution so AI‑accessible content remains current and aligned with enrolment cycles. </w:t>
      </w:r>
      <w:hyperlink r:id="rId9">
        <w:r>
          <w:rPr>
            <w:color w:val="0000EE"/>
            <w:u w:val="single"/>
          </w:rPr>
          <w:t>[1]</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(Single Grain) - Paragraph 1, Paragraph 2, Paragraph 3, Paragraph 4, Paragraph 5, Paragraph 6, Paragraph 8</w:t>
      </w:r>
      <w:r/>
    </w:p>
    <w:p>
      <w:pPr>
        <w:pStyle w:val="ListBullet"/>
        <w:spacing w:line="240" w:lineRule="auto"/>
        <w:ind w:left="720"/>
      </w:pPr>
      <w:r/>
      <w:hyperlink r:id="rId9">
        <w:r>
          <w:rPr>
            <w:color w:val="0000EE"/>
            <w:u w:val="single"/>
          </w:rPr>
          <w:t>[2]</w:t>
        </w:r>
      </w:hyperlink>
      <w:r>
        <w:t xml:space="preserve"> (Single Grain summary) - Paragraph 1, Paragraph 2, Paragraph 3, Paragraph 4, Paragraph 6, Paragraph 8</w:t>
      </w:r>
      <w:r/>
    </w:p>
    <w:p>
      <w:pPr>
        <w:pStyle w:val="ListBullet"/>
        <w:spacing w:line="240" w:lineRule="auto"/>
        <w:ind w:left="720"/>
      </w:pPr>
      <w:r/>
      <w:hyperlink r:id="rId10">
        <w:r>
          <w:rPr>
            <w:color w:val="0000EE"/>
            <w:u w:val="single"/>
          </w:rPr>
          <w:t>[3]</w:t>
        </w:r>
      </w:hyperlink>
      <w:r>
        <w:t xml:space="preserve"> (InsurGrid) - Paragraph 7</w:t>
      </w:r>
      <w:r/>
    </w:p>
    <w:p>
      <w:pPr>
        <w:pStyle w:val="ListBullet"/>
        <w:spacing w:line="240" w:lineRule="auto"/>
        <w:ind w:left="720"/>
      </w:pPr>
      <w:r/>
      <w:hyperlink r:id="rId11">
        <w:r>
          <w:rPr>
            <w:color w:val="0000EE"/>
            <w:u w:val="single"/>
          </w:rPr>
          <w:t>[4]</w:t>
        </w:r>
      </w:hyperlink>
      <w:r>
        <w:t xml:space="preserve"> (Sonant) - Paragraph 7</w:t>
      </w:r>
      <w:r/>
    </w:p>
    <w:p>
      <w:pPr>
        <w:pStyle w:val="ListBullet"/>
        <w:spacing w:line="240" w:lineRule="auto"/>
        <w:ind w:left="720"/>
      </w:pPr>
      <w:r/>
      <w:hyperlink r:id="rId12">
        <w:r>
          <w:rPr>
            <w:color w:val="0000EE"/>
            <w:u w:val="single"/>
          </w:rPr>
          <w:t>[5]</w:t>
        </w:r>
      </w:hyperlink>
      <w:r>
        <w:t xml:space="preserve"> (Klover.ai) - Paragraph 8</w:t>
      </w:r>
      <w:r/>
    </w:p>
    <w:p>
      <w:pPr>
        <w:pStyle w:val="ListBullet"/>
        <w:spacing w:line="240" w:lineRule="auto"/>
        <w:ind w:left="720"/>
      </w:pPr>
      <w:r/>
      <w:hyperlink r:id="rId13">
        <w:r>
          <w:rPr>
            <w:color w:val="0000EE"/>
            <w:u w:val="single"/>
          </w:rPr>
          <w:t>[6]</w:t>
        </w:r>
      </w:hyperlink>
      <w:r>
        <w:t xml:space="preserve"> (CoinLaw)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https://www.singlegrain.com/artificial-intelligence/how-insurance-companies-can-rank-in-ai-generated-policy-comparisons/</w:t>
        </w:r>
      </w:hyperlink>
      <w:r>
        <w:t xml:space="preserve"> - Please view link - unable to able to access data</w:t>
      </w:r>
      <w:r/>
    </w:p>
    <w:p>
      <w:pPr>
        <w:pStyle w:val="ListNumber"/>
        <w:spacing w:line="240" w:lineRule="auto"/>
        <w:ind w:left="720"/>
      </w:pPr>
      <w:r/>
      <w:hyperlink r:id="rId9">
        <w:r>
          <w:rPr>
            <w:color w:val="0000EE"/>
            <w:u w:val="single"/>
          </w:rPr>
          <w:t>https://www.singlegrain.com/artificial-intelligence/how-insurance-companies-can-rank-in-ai-generated-policy-comparisons/</w:t>
        </w:r>
      </w:hyperlink>
      <w:r>
        <w:t xml:space="preserve"> - This article discusses the importance of Insurance GEO optimization in AI-generated policy comparisons. It explains how AI systems determine which insurers, brokers, and plans appear in policy summaries when consumers request comparisons. The piece outlines strategies for insurance organizations to enhance their visibility in generative engines by structuring policy data, establishing a local presence, and creating educational content. It also provides a 90-day roadmap for improving AI-era visibility, focusing on auditing current AI visibility, implementing AI-friendly assets, and developing a comprehensive plan for AI-driven growth.</w:t>
      </w:r>
      <w:r/>
    </w:p>
    <w:p>
      <w:pPr>
        <w:pStyle w:val="ListNumber"/>
        <w:spacing w:line="240" w:lineRule="auto"/>
        <w:ind w:left="720"/>
      </w:pPr>
      <w:r/>
      <w:hyperlink r:id="rId10">
        <w:r>
          <w:rPr>
            <w:color w:val="0000EE"/>
            <w:u w:val="single"/>
          </w:rPr>
          <w:t>https://www.insurgrid.com/policy-comparison</w:t>
        </w:r>
      </w:hyperlink>
      <w:r>
        <w:t xml:space="preserve"> - InsurGrid offers an AI-powered Policy Comparison tool designed to streamline the process of comparing insurance policies. The tool enables users to upload current policy and new quote PDFs, generating automated side-by-side comparisons that highlight coverage differences, premium impacts, and potential savings. This service aims to save time, increase close rates, and uncover more cross-sell opportunities for insurance agents, thereby enhancing client service and operational efficiency.</w:t>
      </w:r>
      <w:r/>
    </w:p>
    <w:p>
      <w:pPr>
        <w:pStyle w:val="ListNumber"/>
        <w:spacing w:line="240" w:lineRule="auto"/>
        <w:ind w:left="720"/>
      </w:pPr>
      <w:r/>
      <w:hyperlink r:id="rId11">
        <w:r>
          <w:rPr>
            <w:color w:val="0000EE"/>
            <w:u w:val="single"/>
          </w:rPr>
          <w:t>https://www.sonant.ai/tools/free-ai-powered-policy-comparison-insurance</w:t>
        </w:r>
      </w:hyperlink>
      <w:r>
        <w:t xml:space="preserve"> - Sonant provides a free AI-powered Policy Comparison tool tailored for insurance agencies. Users can upload two insurance policy PDFs, and the AI processes them instantly to identify key differences in coverage, exclusions, limits, and conditions. The tool generates a detailed, easy-to-read report highlighting these differences, facilitating faster and more accurate decision-making. It also offers a demo to showcase how the AI-powered comparison tool can simplify policy review and improve efficiency across multiple insurance lines.</w:t>
      </w:r>
      <w:r/>
    </w:p>
    <w:p>
      <w:pPr>
        <w:pStyle w:val="ListNumber"/>
        <w:spacing w:line="240" w:lineRule="auto"/>
        <w:ind w:left="720"/>
      </w:pPr>
      <w:r/>
      <w:hyperlink r:id="rId12">
        <w:r>
          <w:rPr>
            <w:color w:val="0000EE"/>
            <w:u w:val="single"/>
          </w:rPr>
          <w:t>https://www.klover.ai/allianz-ai-strategy-analysis-of-dominance-in-insurance-ai/</w:t>
        </w:r>
      </w:hyperlink>
      <w:r>
        <w:t xml:space="preserve"> - Klover.ai presents a comparative analysis of top insurers in the Evident AI Insurance Index, June 2025. The report ranks companies based on their AI capabilities, with AXA leading, followed by Allianz, USAA, Intact Financial, and Manulife. The analysis highlights the importance of AI in the insurance sector and how companies like Allianz and AXA are leveraging AI to enhance their services and maintain a competitive edge in the market.</w:t>
      </w:r>
      <w:r/>
    </w:p>
    <w:p>
      <w:pPr>
        <w:pStyle w:val="ListNumber"/>
        <w:spacing w:line="240" w:lineRule="auto"/>
        <w:ind w:left="720"/>
      </w:pPr>
      <w:r/>
      <w:hyperlink r:id="rId13">
        <w:r>
          <w:rPr>
            <w:color w:val="0000EE"/>
            <w:u w:val="single"/>
          </w:rPr>
          <w:t>https://coinlaw.io/ai-in-insurance-claims-statistics/</w:t>
        </w:r>
      </w:hyperlink>
      <w:r>
        <w:t xml:space="preserve"> - CoinLaw provides statistics on the impact of AI in insurance claims processing as of 2025. Key findings include a 59% reduction in claims processing times for firms using AI, a 33% decrease in administrative costs across major U.S. insurers, and a 78% improvement in fraud detection accuracy with machine learning. The article also projects the AI in the insurance market to reach $7.6 billion in 2025, growing at a 25.1% compound annual growth rate (CAGR).</w:t>
      </w:r>
      <w:r/>
    </w:p>
    <w:p>
      <w:pPr>
        <w:pStyle w:val="ListNumber"/>
        <w:spacing w:line="240" w:lineRule="auto"/>
        <w:ind w:left="720"/>
      </w:pPr>
      <w:r/>
      <w:hyperlink r:id="rId15">
        <w:r>
          <w:rPr>
            <w:color w:val="0000EE"/>
            <w:u w:val="single"/>
          </w:rPr>
          <w:t>https://biwp-content.s3.amazonaws.com/BI_0124.pdf</w:t>
        </w:r>
      </w:hyperlink>
      <w:r>
        <w:t xml:space="preserve"> - This document from Business Insurance provides data and rankings on the world's largest insurance brokers and U.S. insurers. It lists the top 10 global insurance brokers by 2022 brokerage revenue, with Marsh &amp; McLennan Cos. Inc. leading at $20.66 billion. It also ranks the top 10 U.S. insurers by direct premium written, with State Farm at the top with $78.64 billion. The document offers insights into the financial standings of major players in the insurance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nglegrain.com/artificial-intelligence/how-insurance-companies-can-rank-in-ai-generated-policy-comparisons/" TargetMode="External"/><Relationship Id="rId10" Type="http://schemas.openxmlformats.org/officeDocument/2006/relationships/hyperlink" Target="https://www.insurgrid.com/policy-comparison" TargetMode="External"/><Relationship Id="rId11" Type="http://schemas.openxmlformats.org/officeDocument/2006/relationships/hyperlink" Target="https://www.sonant.ai/tools/free-ai-powered-policy-comparison-insurance" TargetMode="External"/><Relationship Id="rId12" Type="http://schemas.openxmlformats.org/officeDocument/2006/relationships/hyperlink" Target="https://www.klover.ai/allianz-ai-strategy-analysis-of-dominance-in-insurance-ai/" TargetMode="External"/><Relationship Id="rId13" Type="http://schemas.openxmlformats.org/officeDocument/2006/relationships/hyperlink" Target="https://coinlaw.io/ai-in-insurance-claims-statistics/" TargetMode="External"/><Relationship Id="rId14" Type="http://schemas.openxmlformats.org/officeDocument/2006/relationships/hyperlink" Target="https://www.noahwire.com" TargetMode="External"/><Relationship Id="rId15" Type="http://schemas.openxmlformats.org/officeDocument/2006/relationships/hyperlink" Target="https://biwp-content.s3.amazonaws.com/BI_01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