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enhances cyber security legislation with expanded scope and higher penalties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Recent months have seen a string of high‑profile cyber breaches that disrupted UK companies and supply chains, prompting the government to introduce the Cyber Security and Resilience (Network and Information Systems) Bill to Parliament on 12 November 2025. The Bill is intended to update the Network and Information Systems Regulations 2018 by widening scope, strengthening incident reporting and raising regulators’ enforcement powers and fines; many elements align with the EU’s NIS2 Directive but include distinct UK variations. </w:t>
      </w:r>
      <w:hyperlink r:id="rId9">
        <w:r>
          <w:rPr>
            <w:color w:val="0000EE"/>
            <w:u w:val="single"/>
          </w:rPr>
          <w:t>[1]</w:t>
        </w:r>
      </w:hyperlink>
      <w:hyperlink r:id="rId10">
        <w:r>
          <w:rPr>
            <w:color w:val="0000EE"/>
            <w:u w:val="single"/>
          </w:rPr>
          <w:t>[6]</w:t>
        </w:r>
      </w:hyperlink>
      <w:hyperlink r:id="rId11">
        <w:r>
          <w:rPr>
            <w:color w:val="0000EE"/>
            <w:u w:val="single"/>
          </w:rPr>
          <w:t>[5]</w:t>
        </w:r>
      </w:hyperlink>
      <w:r/>
    </w:p>
    <w:p>
      <w:r/>
      <w:r>
        <w:t xml:space="preserve">A central change is the expansion of the regime beyond the current “operators of essential services” and “relevant digital service providers” to capture new categories of service providers judged critical to national resilience. The Bill specifically targets managed service providers that operate via their own networks and systems, data centres above specified power thresholds and “large load controllers” that can influence electrical demand, bringing into scope organisations that previously fell outside the NIS Regulations. According to government material, the reforms aim to secure an estimated additional 900–1,100 MSP entities and to strengthen protections for services such as the NHS. </w:t>
      </w:r>
      <w:hyperlink r:id="rId9">
        <w:r>
          <w:rPr>
            <w:color w:val="0000EE"/>
            <w:u w:val="single"/>
          </w:rPr>
          <w:t>[1]</w:t>
        </w:r>
      </w:hyperlink>
      <w:hyperlink r:id="rId12">
        <w:r>
          <w:rPr>
            <w:color w:val="0000EE"/>
            <w:u w:val="single"/>
          </w:rPr>
          <w:t>[2]</w:t>
        </w:r>
      </w:hyperlink>
      <w:hyperlink r:id="rId13">
        <w:r>
          <w:rPr>
            <w:color w:val="0000EE"/>
            <w:u w:val="single"/>
          </w:rPr>
          <w:t>[3]</w:t>
        </w:r>
      </w:hyperlink>
      <w:hyperlink r:id="rId11">
        <w:r>
          <w:rPr>
            <w:color w:val="0000EE"/>
            <w:u w:val="single"/>
          </w:rPr>
          <w:t>[5]</w:t>
        </w:r>
      </w:hyperlink>
      <w:hyperlink r:id="rId10">
        <w:r>
          <w:rPr>
            <w:color w:val="0000EE"/>
            <w:u w:val="single"/>
          </w:rPr>
          <w:t>[6]</w:t>
        </w:r>
      </w:hyperlink>
      <w:r/>
    </w:p>
    <w:p>
      <w:r/>
      <w:r>
        <w:t xml:space="preserve">Data centres would be regulated where they exceed a rated IT load threshold, with the Department for Science, Innovation and Technology and Ofcom proposed as joint regulators for those assets. The Bill’s thresholds (for example, 1MW for data halls and larger enterprise facilities) closely mirror the definitions used in industry briefings, while large load controller coverage is set at organisations controlling 300MW or more of electrical load. Industry advisers have noted these numerical thresholds will be important for operators to map against their estates and determine regulatory exposure. </w:t>
      </w:r>
      <w:hyperlink r:id="rId9">
        <w:r>
          <w:rPr>
            <w:color w:val="0000EE"/>
            <w:u w:val="single"/>
          </w:rPr>
          <w:t>[1]</w:t>
        </w:r>
      </w:hyperlink>
      <w:hyperlink r:id="rId12">
        <w:r>
          <w:rPr>
            <w:color w:val="0000EE"/>
            <w:u w:val="single"/>
          </w:rPr>
          <w:t>[2]</w:t>
        </w:r>
      </w:hyperlink>
      <w:hyperlink r:id="rId13">
        <w:r>
          <w:rPr>
            <w:color w:val="0000EE"/>
            <w:u w:val="single"/>
          </w:rPr>
          <w:t>[3]</w:t>
        </w:r>
      </w:hyperlink>
      <w:hyperlink r:id="rId11">
        <w:r>
          <w:rPr>
            <w:color w:val="0000EE"/>
            <w:u w:val="single"/>
          </w:rPr>
          <w:t>[5]</w:t>
        </w:r>
      </w:hyperlink>
      <w:r/>
    </w:p>
    <w:p>
      <w:r/>
      <w:r>
        <w:t xml:space="preserve">A new mechanism for supply‑chain oversight permits sector regulators to designate particular vendors as “critical suppliers” where their failure would materially affect essential services. The policy statement and legal briefings make clear designated suppliers would be subject to regulation, with the right to appeal designations to the First‑Tier Tribunal under the proposals. The change reflects government concern that major incidents frequently originate in third‑party services rather than in the ultimate service provider. </w:t>
      </w:r>
      <w:hyperlink r:id="rId11">
        <w:r>
          <w:rPr>
            <w:color w:val="0000EE"/>
            <w:u w:val="single"/>
          </w:rPr>
          <w:t>[5]</w:t>
        </w:r>
      </w:hyperlink>
      <w:hyperlink r:id="rId12">
        <w:r>
          <w:rPr>
            <w:color w:val="0000EE"/>
            <w:u w:val="single"/>
          </w:rPr>
          <w:t>[2]</w:t>
        </w:r>
      </w:hyperlink>
      <w:hyperlink r:id="rId13">
        <w:r>
          <w:rPr>
            <w:color w:val="0000EE"/>
            <w:u w:val="single"/>
          </w:rPr>
          <w:t>[3]</w:t>
        </w:r>
      </w:hyperlink>
      <w:r/>
    </w:p>
    <w:p>
      <w:r/>
      <w:r>
        <w:t xml:space="preserve">Incident reporting is reconfigured into a two‑stage duty for significant cyber incidents; affected organisations would be required to notify the regulator within 24 hours and follow up with a fuller report within 72 hours. The scope of reportable events is broadened to include incidents capable of having a significant impact on essential or relevant digital services, explicitly capturing ransomware and other disruption‑focused attacks. The Bill also shifts responsibility for customer notification, requiring organisations to inform customers directly “as soon as reasonably practicable” where they are likely to be adversely affected. Legal commentators warn that these tighter timeframes will require firms to revise detection, escalation and external‑communications procedures. </w:t>
      </w:r>
      <w:hyperlink r:id="rId9">
        <w:r>
          <w:rPr>
            <w:color w:val="0000EE"/>
            <w:u w:val="single"/>
          </w:rPr>
          <w:t>[1]</w:t>
        </w:r>
      </w:hyperlink>
      <w:hyperlink r:id="rId14">
        <w:r>
          <w:rPr>
            <w:color w:val="0000EE"/>
            <w:u w:val="single"/>
          </w:rPr>
          <w:t>[4]</w:t>
        </w:r>
      </w:hyperlink>
      <w:hyperlink r:id="rId15">
        <w:r>
          <w:rPr>
            <w:color w:val="0000EE"/>
            <w:u w:val="single"/>
          </w:rPr>
          <w:t>[7]</w:t>
        </w:r>
      </w:hyperlink>
      <w:r/>
    </w:p>
    <w:p>
      <w:r/>
      <w:r>
        <w:t xml:space="preserve">Sanctions would be increased substantially, with two penalty bands modelled on the UK GDPR structure; the standard maximum would be the higher of £10 million or 2% of global turnover, rising to the higher of £17 million or 4% of global turnover for the most serious breaches, and regulators would be able to recover enforcement costs. Reuters and law firms highlight that the combination of higher fines, recoverable enforcement costs and designation powers represents a significant uplift in regulator leverage over both direct service providers and nominated suppliers. </w:t>
      </w:r>
      <w:hyperlink r:id="rId9">
        <w:r>
          <w:rPr>
            <w:color w:val="0000EE"/>
            <w:u w:val="single"/>
          </w:rPr>
          <w:t>[1]</w:t>
        </w:r>
      </w:hyperlink>
      <w:hyperlink r:id="rId10">
        <w:r>
          <w:rPr>
            <w:color w:val="0000EE"/>
            <w:u w:val="single"/>
          </w:rPr>
          <w:t>[6]</w:t>
        </w:r>
      </w:hyperlink>
      <w:hyperlink r:id="rId12">
        <w:r>
          <w:rPr>
            <w:color w:val="0000EE"/>
            <w:u w:val="single"/>
          </w:rPr>
          <w:t>[2]</w:t>
        </w:r>
      </w:hyperlink>
      <w:r/>
    </w:p>
    <w:p>
      <w:r/>
      <w:r>
        <w:t xml:space="preserve">Businesses that already fall within the NIS Regulations and those likely to be brought into scope are being urged to act now. Practical steps advised by counsel include conducting gap analyses against anticipated requirements, testing incident reporting and customer notification processes to meet the compressed timeframes, reviewing supplier contracts to embed security and notification obligations, and reassessing cyber insurance cover. As the Bill is at first reading, proponents note further changes are possible and that the regime will be supplemented by secondary legislation and formal guidance once enacted. </w:t>
      </w:r>
      <w:hyperlink r:id="rId9">
        <w:r>
          <w:rPr>
            <w:color w:val="0000EE"/>
            <w:u w:val="single"/>
          </w:rPr>
          <w:t>[1]</w:t>
        </w:r>
      </w:hyperlink>
      <w:hyperlink r:id="rId13">
        <w:r>
          <w:rPr>
            <w:color w:val="0000EE"/>
            <w:u w:val="single"/>
          </w:rPr>
          <w:t>[3]</w:t>
        </w:r>
      </w:hyperlink>
      <w:hyperlink r:id="rId14">
        <w:r>
          <w:rPr>
            <w:color w:val="0000EE"/>
            <w:u w:val="single"/>
          </w:rPr>
          <w:t>[4]</w:t>
        </w:r>
      </w:hyperlink>
      <w:hyperlink r:id="rId11">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(Burges Salmon) - Paragraph 1, Paragraph 2, Paragraph 3, Paragraph 5, Paragraph 6, Paragraph 7</w:t>
      </w:r>
      <w:r/>
    </w:p>
    <w:p>
      <w:pPr>
        <w:pStyle w:val="ListBullet"/>
        <w:spacing w:line="240" w:lineRule="auto"/>
        <w:ind w:left="720"/>
      </w:pPr>
      <w:r/>
      <w:hyperlink r:id="rId10">
        <w:r>
          <w:rPr>
            <w:color w:val="0000EE"/>
            <w:u w:val="single"/>
          </w:rPr>
          <w:t>[6]</w:t>
        </w:r>
      </w:hyperlink>
      <w:r>
        <w:t xml:space="preserve"> (Reuters) - Paragraph 1, Paragraph 6</w:t>
      </w:r>
      <w:r/>
    </w:p>
    <w:p>
      <w:pPr>
        <w:pStyle w:val="ListBullet"/>
        <w:spacing w:line="240" w:lineRule="auto"/>
        <w:ind w:left="720"/>
      </w:pPr>
      <w:r/>
      <w:hyperlink r:id="rId11">
        <w:r>
          <w:rPr>
            <w:color w:val="0000EE"/>
            <w:u w:val="single"/>
          </w:rPr>
          <w:t>[5]</w:t>
        </w:r>
      </w:hyperlink>
      <w:r>
        <w:t xml:space="preserve"> (UK Government policy statement) - Paragraph 1, Paragraph 2, Paragraph 4, Paragraph 7</w:t>
      </w:r>
      <w:r/>
    </w:p>
    <w:p>
      <w:pPr>
        <w:pStyle w:val="ListBullet"/>
        <w:spacing w:line="240" w:lineRule="auto"/>
        <w:ind w:left="720"/>
      </w:pPr>
      <w:r/>
      <w:hyperlink r:id="rId12">
        <w:r>
          <w:rPr>
            <w:color w:val="0000EE"/>
            <w:u w:val="single"/>
          </w:rPr>
          <w:t>[2]</w:t>
        </w:r>
      </w:hyperlink>
      <w:r>
        <w:t xml:space="preserve"> (Skadden) - Paragraph 2, Paragraph 3, Paragraph 4, Paragraph 6</w:t>
      </w:r>
      <w:r/>
    </w:p>
    <w:p>
      <w:pPr>
        <w:pStyle w:val="ListBullet"/>
        <w:spacing w:line="240" w:lineRule="auto"/>
        <w:ind w:left="720"/>
      </w:pPr>
      <w:r/>
      <w:hyperlink r:id="rId13">
        <w:r>
          <w:rPr>
            <w:color w:val="0000EE"/>
            <w:u w:val="single"/>
          </w:rPr>
          <w:t>[3]</w:t>
        </w:r>
      </w:hyperlink>
      <w:r>
        <w:t xml:space="preserve"> (DAC Beachcroft) - Paragraph 3, Paragraph 4, Paragraph 7</w:t>
      </w:r>
      <w:r/>
    </w:p>
    <w:p>
      <w:pPr>
        <w:pStyle w:val="ListBullet"/>
        <w:spacing w:line="240" w:lineRule="auto"/>
        <w:ind w:left="720"/>
      </w:pPr>
      <w:r/>
      <w:hyperlink r:id="rId14">
        <w:r>
          <w:rPr>
            <w:color w:val="0000EE"/>
            <w:u w:val="single"/>
          </w:rPr>
          <w:t>[4]</w:t>
        </w:r>
      </w:hyperlink>
      <w:r>
        <w:t xml:space="preserve"> (Osborne Clarke) - Paragraph 5, Paragraph 7</w:t>
      </w:r>
      <w:r/>
    </w:p>
    <w:p>
      <w:pPr>
        <w:pStyle w:val="ListBullet"/>
        <w:spacing w:line="240" w:lineRule="auto"/>
        <w:ind w:left="720"/>
      </w:pPr>
      <w:r/>
      <w:hyperlink r:id="rId15">
        <w:r>
          <w:rPr>
            <w:color w:val="0000EE"/>
            <w:u w:val="single"/>
          </w:rPr>
          <w:t>[7]</w:t>
        </w:r>
      </w:hyperlink>
      <w:r>
        <w:t xml:space="preserve"> (Cybersecurityandresiliencebill.com)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https://www.burges-salmon.com/articles/102ly48/uk-cyber-security-and-resilience-bill-what-you-need-to-know/</w:t>
        </w:r>
      </w:hyperlink>
      <w:r>
        <w:t xml:space="preserve"> - Please view link - unable to able to access data</w:t>
      </w:r>
      <w:r/>
    </w:p>
    <w:p>
      <w:pPr>
        <w:pStyle w:val="ListNumber"/>
        <w:spacing w:line="240" w:lineRule="auto"/>
        <w:ind w:left="720"/>
      </w:pPr>
      <w:r/>
      <w:hyperlink r:id="rId12">
        <w:r>
          <w:rPr>
            <w:color w:val="0000EE"/>
            <w:u w:val="single"/>
          </w:rPr>
          <w:t>https://www.skadden.com/insights/publications/2025/12/uk-unveils-cybersecurity-bill</w:t>
        </w:r>
      </w:hyperlink>
      <w:r>
        <w:t xml:space="preserve"> - Skadden, Arps, Slate, Meagher &amp; Flom LLP provides an overview of the UK's Cyber Security and Resilience (Network and Information Systems) Bill introduced on 12 November 2025. The Bill proposes to significantly extend the Network and Information Systems Regulations (NISR) to include operators of essential services (OESs) and relevant digital service providers (RDSPs) in critical sectors such as electricity, transport, and water. Notably, it aims to cover managed service providers (MSPs) that provide services via their own networks and systems, data centres with a capacity of 1MW or more, and large load controllers that control 300MW or more of electrical load. Additionally, regulators would be granted powers to designate certain suppliers as 'critical suppliers' if an incident affecting them could significantly impact the UK. These suppliers would have the right to appeal their designation to the First-Tier Tribunal. The article also discusses the implications of these proposed changes for businesses and the importance of compliance with the evolving regulatory landscape.</w:t>
      </w:r>
      <w:r/>
    </w:p>
    <w:p>
      <w:pPr>
        <w:pStyle w:val="ListNumber"/>
        <w:spacing w:line="240" w:lineRule="auto"/>
        <w:ind w:left="720"/>
      </w:pPr>
      <w:r/>
      <w:hyperlink r:id="rId13">
        <w:r>
          <w:rPr>
            <w:color w:val="0000EE"/>
            <w:u w:val="single"/>
          </w:rPr>
          <w:t>https://www.dacbeachcroft.com/en/What-we-think/Cyber-security-and-resilience-bill-updating-the-UK-cyber-security-framework</w:t>
        </w:r>
      </w:hyperlink>
      <w:r>
        <w:t xml:space="preserve"> - DAC Beachcroft examines the UK's Cyber Security and Resilience Bill, highlighting key changes to the Network and Information Systems Regulations (NIS Regulations). The Bill expands the regulatory scope to include medium and large relevant managed service providers (RMSPs), data centres with a rated IT load of 1MW or more, and large load controllers that control 300MW or more of electrical load. It also introduces the concept of 'designated critical suppliers,' allowing regulators to designate and regulate organisations as critical suppliers if an incident affecting them could cause disruption to essential, digital, or managed services. The article discusses the implications of these changes for businesses and the importance of proactive compliance with the new regulations.</w:t>
      </w:r>
      <w:r/>
    </w:p>
    <w:p>
      <w:pPr>
        <w:pStyle w:val="ListNumber"/>
        <w:spacing w:line="240" w:lineRule="auto"/>
        <w:ind w:left="720"/>
      </w:pPr>
      <w:r/>
      <w:hyperlink r:id="rId14">
        <w:r>
          <w:rPr>
            <w:color w:val="0000EE"/>
            <w:u w:val="single"/>
          </w:rPr>
          <w:t>https://www.osborneclarke.com/insights/regulatory-outlook-november-2025-cyber-security</w:t>
        </w:r>
      </w:hyperlink>
      <w:r>
        <w:t xml:space="preserve"> - Osborne Clarke provides insights into the UK's Cyber Security and Resilience Bill, focusing on the expansion of the regulatory scope. The Bill proposes to bring medium and large managed service providers (MSPs), data centres, and large load controllers under the Network and Information Systems Regulations (NIS Regulations). It also introduces a two-stage incident reporting process, requiring organisations to notify their regulator within 24 hours and provide a full report within 72 hours. Additionally, the Bill grants regulators new powers to designate and regulate critical suppliers to essential services. The article discusses the potential impact of these changes on businesses and the importance of compliance with the evolving regulatory framework.</w:t>
      </w:r>
      <w:r/>
    </w:p>
    <w:p>
      <w:pPr>
        <w:pStyle w:val="ListNumber"/>
        <w:spacing w:line="240" w:lineRule="auto"/>
        <w:ind w:left="720"/>
      </w:pPr>
      <w:r/>
      <w:hyperlink r:id="rId11">
        <w:r>
          <w:rPr>
            <w:color w:val="0000EE"/>
            <w:u w:val="single"/>
          </w:rPr>
          <w:t>https://www.gov.uk/government/publications/cyber-security-and-resilience-bill-policy-statement/cyber-security-and-resilience-bill-policy-statement</w:t>
        </w:r>
      </w:hyperlink>
      <w:r>
        <w:t xml:space="preserve"> - The UK government's policy statement outlines the objectives and impact of the Cyber Security and Resilience Bill. The Bill aims to enhance the security of IT infrastructure by expanding the scope of regulations to include managed service providers (MSPs), data centres, and large load controllers. It also seeks to strengthen supply chain security by enabling regulators to designate 'critical suppliers' whose disruption could significantly impact essential services. The policy statement discusses the anticipated benefits of these measures, including improved cyber resilience and reduced risks of cyber attacks, and highlights the estimated number of MSPs that will be secured under the new regulations.</w:t>
      </w:r>
      <w:r/>
    </w:p>
    <w:p>
      <w:pPr>
        <w:pStyle w:val="ListNumber"/>
        <w:spacing w:line="240" w:lineRule="auto"/>
        <w:ind w:left="720"/>
      </w:pPr>
      <w:r/>
      <w:hyperlink r:id="rId10">
        <w:r>
          <w:rPr>
            <w:color w:val="0000EE"/>
            <w:u w:val="single"/>
          </w:rPr>
          <w:t>https://www.reuters.com/world/uk/uk-plans-tougher-laws-protect-public-services-cyberattacks-2025-11-12/</w:t>
        </w:r>
      </w:hyperlink>
      <w:r>
        <w:t xml:space="preserve"> - Reuters reports on the UK's plans to introduce stricter cybersecurity regulations to protect public services from increasing cyberattacks. The proposed laws will require medium and large companies providing services such as IT management, help desk support, and cybersecurity to both private and public sector organisations, including the National Health Service (NHS), to comply with rigorous security standards. The initiative follows several high-profile attacks, including a breach of the Ministry of Defence's payroll system and incidents affecting NHS operations and major UK brands. Under the plans, these service providers must report significant cyber incidents promptly and have comprehensive response strategies in place. Regulators would also have expanded authority to designate key suppliers to essential services and impose tougher penalties for serious security violations. Additionally, the government plans to prohibit public sector organisations and critical national infrastructure bodies, such as schools and councils, from paying cybercriminals’ ransom demands. These measures aim to enhance national resilience and better protect government networks and infrastructure.</w:t>
      </w:r>
      <w:r/>
    </w:p>
    <w:p>
      <w:pPr>
        <w:pStyle w:val="ListNumber"/>
        <w:spacing w:line="240" w:lineRule="auto"/>
        <w:ind w:left="720"/>
      </w:pPr>
      <w:r/>
      <w:hyperlink r:id="rId15">
        <w:r>
          <w:rPr>
            <w:color w:val="0000EE"/>
            <w:u w:val="single"/>
          </w:rPr>
          <w:t>https://www.cybersecurityandresiliencebill.com/what-is-it</w:t>
        </w:r>
      </w:hyperlink>
      <w:r>
        <w:t xml:space="preserve"> - The Cyber Security and Resilience Bill introduces several major reforms to the UK's cybersecurity landscape. Key changes include the expansion of the regulatory scope to include managed service providers (MSPs), data centres, and large load controllers; the introduction of mandatory technical requirements through the Cyber Assessment Framework (CAF); and enhanced incident reporting obligations with a two-stage reporting structure. The Bill also enables regulators to designate and regulate critical suppliers to essential services, aiming to strengthen supply chain security. The article discusses these changes and their implications for businesses, emphasising the need for proactive compliance with the new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rges-salmon.com/articles/102ly48/uk-cyber-security-and-resilience-bill-what-you-need-to-know/" TargetMode="External"/><Relationship Id="rId10" Type="http://schemas.openxmlformats.org/officeDocument/2006/relationships/hyperlink" Target="https://www.reuters.com/world/uk/uk-plans-tougher-laws-protect-public-services-cyberattacks-2025-11-12/" TargetMode="External"/><Relationship Id="rId11" Type="http://schemas.openxmlformats.org/officeDocument/2006/relationships/hyperlink" Target="https://www.gov.uk/government/publications/cyber-security-and-resilience-bill-policy-statement/cyber-security-and-resilience-bill-policy-statement" TargetMode="External"/><Relationship Id="rId12" Type="http://schemas.openxmlformats.org/officeDocument/2006/relationships/hyperlink" Target="https://www.skadden.com/insights/publications/2025/12/uk-unveils-cybersecurity-bill" TargetMode="External"/><Relationship Id="rId13" Type="http://schemas.openxmlformats.org/officeDocument/2006/relationships/hyperlink" Target="https://www.dacbeachcroft.com/en/What-we-think/Cyber-security-and-resilience-bill-updating-the-UK-cyber-security-framework" TargetMode="External"/><Relationship Id="rId14" Type="http://schemas.openxmlformats.org/officeDocument/2006/relationships/hyperlink" Target="https://www.osborneclarke.com/insights/regulatory-outlook-november-2025-cyber-security" TargetMode="External"/><Relationship Id="rId15" Type="http://schemas.openxmlformats.org/officeDocument/2006/relationships/hyperlink" Target="https://www.cybersecurityandresiliencebill.com/what-is-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