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EBA updates confidentiality on monitoring non-EU jurisdictions for EU banking stability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European Banking Authority has updated a confidential Report on equivalence monitoring activities and submitted it to the European Parliament, the Council, the European Commission and the other European Supervisory Authorities,while publishing a public summary to increase transparency about recent regulatory and supervisory developments in 26 non‑EU jurisdictions deemed equivalent under the Capital Requirements Regulation (CRR). According to the EBA press release,the public summary outlines the scope and limitations of the monitoring exercise and explains the Authority’s approach to assessing regulatory changes outside the EU. </w:t>
      </w:r>
      <w:hyperlink r:id="rId9">
        <w:r>
          <w:rPr>
            <w:color w:val="0000EE"/>
            <w:u w:val="single"/>
          </w:rPr>
          <w:t>[1]</w:t>
        </w:r>
      </w:hyperlink>
      <w:hyperlink r:id="rId10">
        <w:r>
          <w:rPr>
            <w:color w:val="0000EE"/>
            <w:u w:val="single"/>
          </w:rPr>
          <w:t>[2]</w:t>
        </w:r>
      </w:hyperlink>
      <w:r/>
    </w:p>
    <w:p>
      <w:r/>
      <w:r>
        <w:t xml:space="preserve">The updated monitoring work follows earlier methodological reform: on 24 March 2025 the EBA published an updated methodology for assessing third‑country equivalence which reflects amendments introduced by the revised CRR and CRD. Industry advisers said the methodological update has sharpened the parameters used to judge alignment between non‑EU frameworks and EU prudential rules,and it underpins how the EBA identifies potential divergences requiring follow‑up. </w:t>
      </w:r>
      <w:hyperlink r:id="rId11">
        <w:r>
          <w:rPr>
            <w:color w:val="0000EE"/>
            <w:u w:val="single"/>
          </w:rPr>
          <w:t>[3]</w:t>
        </w:r>
      </w:hyperlink>
      <w:r/>
    </w:p>
    <w:p>
      <w:r/>
      <w:r>
        <w:t xml:space="preserve">The confidential Report,as described by the EBA,provides factual information on regulatory and supervisory changes,identifies areas that may require continued monitoring,and seeks to ensure that the criteria for equivalence decisions continue to be met. The publicly available summary is deliberately high‑level: it gives stakeholders insight into methodology,scope and the parameters applied while preserving the confidentiality of detailed findings. The EBA stresses that any subsequent actions will depend on the number and materiality of findings for each jurisdiction. </w:t>
      </w:r>
      <w:hyperlink r:id="rId9">
        <w:r>
          <w:rPr>
            <w:color w:val="0000EE"/>
            <w:u w:val="single"/>
          </w:rPr>
          <w:t>[1]</w:t>
        </w:r>
      </w:hyperlink>
      <w:hyperlink r:id="rId10">
        <w:r>
          <w:rPr>
            <w:color w:val="0000EE"/>
            <w:u w:val="single"/>
          </w:rPr>
          <w:t>[2]</w:t>
        </w:r>
      </w:hyperlink>
      <w:r/>
    </w:p>
    <w:p>
      <w:r/>
      <w:r>
        <w:t xml:space="preserve">The legal basis for the monitoring is Article 33(3) of the EBA’s founding Regulation,which mandates the Authority to keep under review regulatory,supervisory and enforcement developments in jurisdictions benefiting from Commission equivalence decisions under the CRR. The EBA frames the exercise as an ongoing review to ensure the conditions underpinning equivalence decisions remain fulfilled over time. </w:t>
      </w:r>
      <w:hyperlink r:id="rId9">
        <w:r>
          <w:rPr>
            <w:color w:val="0000EE"/>
            <w:u w:val="single"/>
          </w:rPr>
          <w:t>[1]</w:t>
        </w:r>
      </w:hyperlink>
      <w:hyperlink r:id="rId10">
        <w:r>
          <w:rPr>
            <w:color w:val="0000EE"/>
            <w:u w:val="single"/>
          </w:rPr>
          <w:t>[2]</w:t>
        </w:r>
      </w:hyperlink>
      <w:r/>
    </w:p>
    <w:p>
      <w:r/>
      <w:r>
        <w:t xml:space="preserve">Minutes of EBA governance meetings indicate this work has been an explicit management priority. The Management Board noted progress on equivalence work in its 24 September 2025 conference call and anticipated a regulatory and supervisory equivalence monitoring report to be finalised and submitted to the Board of Supervisors before the end of 2025. The Board of Supervisors’ October 2025 discussions likewise set out the three dimensions of EBA equivalence work: assessment,monitoring of existing decisions,and monitoring developments over time to detect fragmentation. </w:t>
      </w:r>
      <w:hyperlink r:id="rId12">
        <w:r>
          <w:rPr>
            <w:color w:val="0000EE"/>
            <w:u w:val="single"/>
          </w:rPr>
          <w:t>[5]</w:t>
        </w:r>
      </w:hyperlink>
      <w:hyperlink r:id="rId13">
        <w:r>
          <w:rPr>
            <w:color w:val="0000EE"/>
            <w:u w:val="single"/>
          </w:rPr>
          <w:t>[6]</w:t>
        </w:r>
      </w:hyperlink>
      <w:r/>
    </w:p>
    <w:p>
      <w:r/>
      <w:r>
        <w:t xml:space="preserve">The equivalence monitoring update sits alongside the EBA’s broader supervisory convergence agenda. The Authority’s 2024 Report on supervisory convergence described efforts to align supervisory practice across member states across prudential,resolution,consumer protection and digital finance domains,and signalled a shift towards deeper focus on supervisory outcomes. That context helps explain why the EBA is coupling methodological upgrades with routine,structured monitoring of non‑EU regimes. </w:t>
      </w:r>
      <w:hyperlink r:id="rId14">
        <w:r>
          <w:rPr>
            <w:color w:val="0000EE"/>
            <w:u w:val="single"/>
          </w:rPr>
          <w:t>[4]</w:t>
        </w:r>
      </w:hyperlink>
      <w:r/>
    </w:p>
    <w:p>
      <w:r/>
      <w:r>
        <w:t xml:space="preserve">Looking ahead,the EBA’s published summary and the confidential Report together signal a tightening of surveillance on jurisdictions whose rules matter for EU banks’ cross‑border exposures. The Authority has said follow‑up actions will be calibrated to the severity and number of material findings; governance records show senior management has prioritised delivering the monitoring output within 2025,which will inform any recommendations to the Commission or further supervisory measures. Markets and institutions with cross‑border activities will therefore be watching for whether the confidential findings translate into targeted supervisory engagement or requests for regulatory change. </w:t>
      </w:r>
      <w:hyperlink r:id="rId9">
        <w:r>
          <w:rPr>
            <w:color w:val="0000EE"/>
            <w:u w:val="single"/>
          </w:rPr>
          <w:t>[1]</w:t>
        </w:r>
      </w:hyperlink>
      <w:hyperlink r:id="rId12">
        <w:r>
          <w:rPr>
            <w:color w:val="0000EE"/>
            <w:u w:val="single"/>
          </w:rPr>
          <w:t>[5]</w:t>
        </w:r>
      </w:hyperlink>
      <w:hyperlink r:id="rId13">
        <w:r>
          <w:rPr>
            <w:color w:val="0000EE"/>
            <w:u w:val="single"/>
          </w:rPr>
          <w:t>[6]</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(MondoVisione/EBA press release) - Paragraph 1, Paragraph 3, Paragraph 4, Paragraph 7</w:t>
      </w:r>
      <w:r/>
    </w:p>
    <w:p>
      <w:pPr>
        <w:pStyle w:val="ListBullet"/>
        <w:spacing w:line="240" w:lineRule="auto"/>
        <w:ind w:left="720"/>
      </w:pPr>
      <w:r/>
      <w:hyperlink r:id="rId10">
        <w:r>
          <w:rPr>
            <w:color w:val="0000EE"/>
            <w:u w:val="single"/>
          </w:rPr>
          <w:t>[2]</w:t>
        </w:r>
      </w:hyperlink>
      <w:r>
        <w:t xml:space="preserve"> (EBA press release on EBA website) - Paragraph 1, Paragraph 3, Paragraph 4</w:t>
      </w:r>
      <w:r/>
    </w:p>
    <w:p>
      <w:pPr>
        <w:pStyle w:val="ListBullet"/>
        <w:spacing w:line="240" w:lineRule="auto"/>
        <w:ind w:left="720"/>
      </w:pPr>
      <w:r/>
      <w:hyperlink r:id="rId11">
        <w:r>
          <w:rPr>
            <w:color w:val="0000EE"/>
            <w:u w:val="single"/>
          </w:rPr>
          <w:t>[3]</w:t>
        </w:r>
      </w:hyperlink>
      <w:r>
        <w:t xml:space="preserve"> (Addleshaw Goddard commentary) - Paragraph 2</w:t>
      </w:r>
      <w:r/>
    </w:p>
    <w:p>
      <w:pPr>
        <w:pStyle w:val="ListBullet"/>
        <w:spacing w:line="240" w:lineRule="auto"/>
        <w:ind w:left="720"/>
      </w:pPr>
      <w:r/>
      <w:hyperlink r:id="rId14">
        <w:r>
          <w:rPr>
            <w:color w:val="0000EE"/>
            <w:u w:val="single"/>
          </w:rPr>
          <w:t>[4]</w:t>
        </w:r>
      </w:hyperlink>
      <w:r>
        <w:t xml:space="preserve"> (EBA 2024 Report on supervisory convergence) - Paragraph 6</w:t>
      </w:r>
      <w:r/>
    </w:p>
    <w:p>
      <w:pPr>
        <w:pStyle w:val="ListBullet"/>
        <w:spacing w:line="240" w:lineRule="auto"/>
        <w:ind w:left="720"/>
      </w:pPr>
      <w:r/>
      <w:hyperlink r:id="rId12">
        <w:r>
          <w:rPr>
            <w:color w:val="0000EE"/>
            <w:u w:val="single"/>
          </w:rPr>
          <w:t>[5]</w:t>
        </w:r>
      </w:hyperlink>
      <w:r>
        <w:t xml:space="preserve"> (EBA Management Board minutes 24 September 2025) - Paragraph 5, Paragraph 7</w:t>
      </w:r>
      <w:r/>
    </w:p>
    <w:p>
      <w:pPr>
        <w:pStyle w:val="ListBullet"/>
        <w:spacing w:line="240" w:lineRule="auto"/>
        <w:ind w:left="720"/>
      </w:pPr>
      <w:r/>
      <w:hyperlink r:id="rId13">
        <w:r>
          <w:rPr>
            <w:color w:val="0000EE"/>
            <w:u w:val="single"/>
          </w:rPr>
          <w:t>[6]</w:t>
        </w:r>
      </w:hyperlink>
      <w:r>
        <w:t xml:space="preserve"> (EBA Board of Supervisors minutes 15-16 October 2025) - Paragraph 5, Paragraph 7</w:t>
      </w:r>
      <w:r/>
    </w:p>
    <w:p>
      <w:pPr>
        <w:pStyle w:val="ListBullet"/>
        <w:spacing w:line="240" w:lineRule="auto"/>
        <w:ind w:left="720"/>
      </w:pPr>
      <w:r/>
      <w:hyperlink r:id="rId15">
        <w:r>
          <w:rPr>
            <w:color w:val="0000EE"/>
            <w:u w:val="single"/>
          </w:rPr>
          <w:t>[7]</w:t>
        </w:r>
      </w:hyperlink>
      <w:r>
        <w:t xml:space="preserve"> (EBA Management Board minutes 28 January 2025)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https://mondovisione.com/media-and-resources/news/the-eba-publishes-an-update-of-its-equivalence-monitoring-activities-20251218/</w:t>
        </w:r>
      </w:hyperlink>
      <w:r>
        <w:t xml:space="preserve"> - Please view link - unable to able to access data</w:t>
      </w:r>
      <w:r/>
    </w:p>
    <w:p>
      <w:pPr>
        <w:pStyle w:val="ListNumber"/>
        <w:spacing w:line="240" w:lineRule="auto"/>
        <w:ind w:left="720"/>
      </w:pPr>
      <w:r/>
      <w:hyperlink r:id="rId10">
        <w:r>
          <w:rPr>
            <w:color w:val="0000EE"/>
            <w:u w:val="single"/>
          </w:rPr>
          <w:t>https://www.eba.europa.eu/publications-and-media/press-releases/eba-publishes-update-its-equivalence-monitoring-activities-0</w:t>
        </w:r>
      </w:hyperlink>
      <w:r>
        <w:t xml:space="preserve"> - The European Banking Authority (EBA) has updated its confidential Report on equivalence monitoring activities and submitted it to the European Parliament, the Council, the European Commission, and the other European Supervisory Authorities (ESAs). To enhance transparency, the EBA also published a public summary outlining recent regulatory and supervisory developments in 26 non-EU jurisdictions deemed equivalent under the Capital Requirements Regulation (CRR). The Report provides factual information on regulatory and supervisory changes, identifies areas that may require continued monitoring, and ensures that the criteria for equivalence decisions continue to be met. The public summary offers insight into the EBA’s monitoring approach, while respecting the confidentiality of the detailed Report. The summary provides information on the methodology, scope, parameters, and inherent limitations of the equivalence assessments. It emphasises that the nature and extent of any subsequent follow-up actions will be contingent upon the number and significance of the material findings identified for each jurisdiction. Legal basis: Article 33(3) of the EBA’s founding Regulation mandates the Authority to monitor regulatory, supervisory, and enforcement developments in jurisdictions benefiting from European Commission equivalence decisions under the CRR. This ongoing review ensures that the conditions underpinning those decisions remain fulfilled over time.</w:t>
      </w:r>
      <w:r/>
    </w:p>
    <w:p>
      <w:pPr>
        <w:pStyle w:val="ListNumber"/>
        <w:spacing w:line="240" w:lineRule="auto"/>
        <w:ind w:left="720"/>
      </w:pPr>
      <w:r/>
      <w:hyperlink r:id="rId11">
        <w:r>
          <w:rPr>
            <w:color w:val="0000EE"/>
            <w:u w:val="single"/>
          </w:rPr>
          <w:t>https://www.addleshawgoddard.com/en/insights/insights-briefings/2025/financial-regulation/financial-regulation-in-the-know-uk-eu-banking-and-investment-regulation-may-2025/eba-publishes-updated-methodology-regulatory-equivalence-third-countries-banking-prudential-requirements/</w:t>
        </w:r>
      </w:hyperlink>
      <w:r>
        <w:t xml:space="preserve"> - On 24 March 2025, the European Banking Authority (EBA) published a press release announcing its updated methodology for the assessment of third countries' equivalence with the regulatory and supervisory framework under the EU prudential framework. The changes to the methodology reflect the amendments to the revised Capital Requirements Regulation (CRR) and Capital Requirements Directive (CRD).</w:t>
      </w:r>
      <w:r/>
    </w:p>
    <w:p>
      <w:pPr>
        <w:pStyle w:val="ListNumber"/>
        <w:spacing w:line="240" w:lineRule="auto"/>
        <w:ind w:left="720"/>
      </w:pPr>
      <w:r/>
      <w:hyperlink r:id="rId14">
        <w:r>
          <w:rPr>
            <w:color w:val="0000EE"/>
            <w:u w:val="single"/>
          </w:rPr>
          <w:t>https://www.eba.europa.eu/publications-and-media/press-releases/eba-publishes-its-2024-report-supervisory-convergence</w:t>
        </w:r>
      </w:hyperlink>
      <w:r>
        <w:t xml:space="preserve"> - The European Banking Authority (EBA) today published its annual Report on convergence of supervisory practices for 2024 across the European Union (EU). The Report details the EBA’s extensive efforts to strengthen the alignment of supervisory approaches across Member States and across all dimensions of its activities: prudential, resolution, consumer protection, digital finance and, until the end of 2025, anti-money laundering/countering the financing of terrorism (AML/CFT). This is also a first step in implementing the recommendations set out in the EBA’s Report on the efficiency of the regulatory and supervisory framework. Going forward, the EBA will further deepen its focus on supervisory outcomes to ensure consistent and robust supervision across the EU. In the area of prudential supervision, the EBA’s European Supervisory Examination Programme (ESEP) for 2024 focused on liquidity and funding risk, interest rate risk and hedging, and recovery operationalisation.</w:t>
      </w:r>
      <w:r/>
    </w:p>
    <w:p>
      <w:pPr>
        <w:pStyle w:val="ListNumber"/>
        <w:spacing w:line="240" w:lineRule="auto"/>
        <w:ind w:left="720"/>
      </w:pPr>
      <w:r/>
      <w:hyperlink r:id="rId12">
        <w:r>
          <w:rPr>
            <w:color w:val="0000EE"/>
            <w:u w:val="single"/>
          </w:rPr>
          <w:t>https://www.eba.europa.eu/sites/default/files/2025-12/6fdfc98e-6977-4a09-9039-eece80a9c1ba/Final%20Minutes%20MB%20conference%20call%20on%2024%20September%202025.pdf</w:t>
        </w:r>
      </w:hyperlink>
      <w:r>
        <w:t xml:space="preserve"> - The EBA Management Board held a conference call on 24 September 2025. The meeting covered various topics, including strategic outreach across various sectors and progress on equivalence work. The Executive Director noted that the work on equivalence has been progressing well, with the next major deliverable being a report on regulatory and supervisory equivalence monitoring that is currently being finalised and would be submitted to the Board of Supervisors (BoS) before the end of 2025.</w:t>
      </w:r>
      <w:r/>
    </w:p>
    <w:p>
      <w:pPr>
        <w:pStyle w:val="ListNumber"/>
        <w:spacing w:line="240" w:lineRule="auto"/>
        <w:ind w:left="720"/>
      </w:pPr>
      <w:r/>
      <w:hyperlink r:id="rId13">
        <w:r>
          <w:rPr>
            <w:color w:val="0000EE"/>
            <w:u w:val="single"/>
          </w:rPr>
          <w:t>https://www.eba.europa.eu/sites/default/files/2025-12/800b87be-f96e-442d-8176-3d9a07d86230/Final%20Minutes%20of%20BSG%20meeting%2015-16%20Oct%202025.pdf</w:t>
        </w:r>
      </w:hyperlink>
      <w:r>
        <w:t xml:space="preserve"> - The EBA Board of Supervisors (BSG) met on 15 and 16 October 2025. The meeting included discussions on various topics, including the assessment of non-EU jurisdictions’ regulatory and supervisory frameworks. The Senior Policy Expert elaborated on the three dimensions of EBA equivalence work: assessment of non-EU jurisdictions’ regulatory and supervisory frameworks, monitoring of existing equivalence decisions in non-EU jurisdictions, and monitoring of non-EU regulatory and supervisory developments over time to detect areas of regulatory fragmentation.</w:t>
      </w:r>
      <w:r/>
    </w:p>
    <w:p>
      <w:pPr>
        <w:pStyle w:val="ListNumber"/>
        <w:spacing w:line="240" w:lineRule="auto"/>
        <w:ind w:left="720"/>
      </w:pPr>
      <w:r/>
      <w:hyperlink r:id="rId15">
        <w:r>
          <w:rPr>
            <w:color w:val="0000EE"/>
            <w:u w:val="single"/>
          </w:rPr>
          <w:t>https://www.eba.europa.eu/sites/default/files/2025-03/809a622e-ddfe-41d1-b3fa-aa2e94c84b2c/EBA%20MB%202025%20021%20rev.%201%20%28Final%20Minutes%20MB%20meeting%20on%2028%20January%202025%29.pdf</w:t>
        </w:r>
      </w:hyperlink>
      <w:r>
        <w:t xml:space="preserve"> - The EBA Management Board held a meeting on 28 January 2025. The meeting covered various topics, including the EBA’s internal control to manage its human resources and its ethics framework. The Executive Director acknowledged that the IAS concluded that EBA’s internal control to manage its human resources and its ethics framework were adequately designed and effectively and efficiently implemented. In 2024, there were no overdue ECA or IAS recommendations, the Enterprise Risk Management System and Internal Control framework revealed no significant deficiencies, and the EMAS certification was maintained. There were no major ethics or data protection issues.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ondovisione.com/media-and-resources/news/the-eba-publishes-an-update-of-its-equivalence-monitoring-activities-20251218/" TargetMode="External"/><Relationship Id="rId10" Type="http://schemas.openxmlformats.org/officeDocument/2006/relationships/hyperlink" Target="https://www.eba.europa.eu/publications-and-media/press-releases/eba-publishes-update-its-equivalence-monitoring-activities-0" TargetMode="External"/><Relationship Id="rId11" Type="http://schemas.openxmlformats.org/officeDocument/2006/relationships/hyperlink" Target="https://www.addleshawgoddard.com/en/insights/insights-briefings/2025/financial-regulation/financial-regulation-in-the-know-uk-eu-banking-and-investment-regulation-may-2025/eba-publishes-updated-methodology-regulatory-equivalence-third-countries-banking-prudential-requirements/" TargetMode="External"/><Relationship Id="rId12" Type="http://schemas.openxmlformats.org/officeDocument/2006/relationships/hyperlink" Target="https://www.eba.europa.eu/sites/default/files/2025-12/6fdfc98e-6977-4a09-9039-eece80a9c1ba/Final%20Minutes%20MB%20conference%20call%20on%2024%20September%202025.pdf" TargetMode="External"/><Relationship Id="rId13" Type="http://schemas.openxmlformats.org/officeDocument/2006/relationships/hyperlink" Target="https://www.eba.europa.eu/sites/default/files/2025-12/800b87be-f96e-442d-8176-3d9a07d86230/Final%20Minutes%20of%20BSG%20meeting%2015-16%20Oct%202025.pdf" TargetMode="External"/><Relationship Id="rId14" Type="http://schemas.openxmlformats.org/officeDocument/2006/relationships/hyperlink" Target="https://www.eba.europa.eu/publications-and-media/press-releases/eba-publishes-its-2024-report-supervisory-convergence" TargetMode="External"/><Relationship Id="rId15" Type="http://schemas.openxmlformats.org/officeDocument/2006/relationships/hyperlink" Target="https://www.eba.europa.eu/sites/default/files/2025-03/809a622e-ddfe-41d1-b3fa-aa2e94c84b2c/EBA%20MB%202025%20021%20rev.%201%20%28Final%20Minutes%20MB%20meeting%20on%2028%20January%202025%29.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