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Finra’s 2026 report signals a regulatory crackdown on autonomous AI actions in finance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FINRA’s 2026 Annual Regulatory Oversight Report, issued in early December 2025, signals a shift in the regulator’s posture towards artificial intelligence by treating agentic, workflow‑executing systems as operational actors subject to long‑standing supervisory and recordkeeping rules rather than merely novel communications tools. According to the report, systems that can interact with internal databases, external data sources, or functional APIs to initiate multi‑step tasks raise distinct compliance issues under Rules 3110 and 3120 (Supervision and Supervisory Control Systems) as well as books‑and‑records obligations. </w:t>
      </w:r>
      <w:hyperlink r:id="rId9">
        <w:r>
          <w:rPr>
            <w:color w:val="0000EE"/>
            <w:u w:val="single"/>
          </w:rPr>
          <w:t>[1]</w:t>
        </w:r>
      </w:hyperlink>
      <w:hyperlink r:id="rId10">
        <w:r>
          <w:rPr>
            <w:color w:val="0000EE"/>
            <w:u w:val="single"/>
          </w:rPr>
          <w:t>[3]</w:t>
        </w:r>
      </w:hyperlink>
      <w:r/>
    </w:p>
    <w:p>
      <w:r/>
      <w:r>
        <w:t xml:space="preserve">The report draws a clear regulatory line between traditional generative AI used for search, summarisation or drafting and a new class of autonomous systems capable of taking actions that would previously have been performed by a registered person. FINRA warns that when an AI system “takes action” the supervisory framework must adapt: outputs alone are insufficient if firms cannot reconstruct the chain of activity that produced them. FINRA published the report slightly earlier than in past years to help member firms with annual compliance planning. </w:t>
      </w:r>
      <w:hyperlink r:id="rId9">
        <w:r>
          <w:rPr>
            <w:color w:val="0000EE"/>
            <w:u w:val="single"/>
          </w:rPr>
          <w:t>[1]</w:t>
        </w:r>
      </w:hyperlink>
      <w:hyperlink r:id="rId11">
        <w:r>
          <w:rPr>
            <w:color w:val="0000EE"/>
            <w:u w:val="single"/>
          </w:rPr>
          <w:t>[2]</w:t>
        </w:r>
      </w:hyperlink>
      <w:hyperlink r:id="rId10">
        <w:r>
          <w:rPr>
            <w:color w:val="0000EE"/>
            <w:u w:val="single"/>
          </w:rPr>
          <w:t>[3]</w:t>
        </w:r>
      </w:hyperlink>
      <w:r/>
    </w:p>
    <w:p>
      <w:r/>
      <w:r>
        <w:t xml:space="preserve">FINRA frames its supervisory concerns around four elevated risk categories that recast familiar regulatory obligations in the context of automation. First, “Supervisory Substitution Risk” describes situations where an AI engine selects intermediate actions, querying systems, pulling data or initiating downstream triggers, in ways that effectively substitute for human review, requiring the same controls applicable to any associated person performing a comparable function. </w:t>
      </w:r>
      <w:hyperlink r:id="rId9">
        <w:r>
          <w:rPr>
            <w:color w:val="0000EE"/>
            <w:u w:val="single"/>
          </w:rPr>
          <w:t>[1]</w:t>
        </w:r>
      </w:hyperlink>
      <w:hyperlink r:id="rId12">
        <w:r>
          <w:rPr>
            <w:color w:val="0000EE"/>
            <w:u w:val="single"/>
          </w:rPr>
          <w:t>[5]</w:t>
        </w:r>
      </w:hyperlink>
      <w:r/>
    </w:p>
    <w:p>
      <w:r/>
      <w:r>
        <w:t xml:space="preserve">Second, the regulator highlights “Books‑and‑Records Integrity Risk.” FINRA and market‑regime rules such as Rule 4511 and Exchange Act Rule 17a‑4 require firms to preserve information sufficient to reconstruct activity. The report emphasises that increasing system complexity has created a gap between the telemetry firms retain and the level of detail necessary for process reconstruction, so that retaining outputs without intermediate decision logs may fail regulatory obligations. Industry observers have echoed this concern and urged adoption of fuller system‑level audit trails. </w:t>
      </w:r>
      <w:hyperlink r:id="rId9">
        <w:r>
          <w:rPr>
            <w:color w:val="0000EE"/>
            <w:u w:val="single"/>
          </w:rPr>
          <w:t>[1]</w:t>
        </w:r>
      </w:hyperlink>
      <w:hyperlink r:id="rId10">
        <w:r>
          <w:rPr>
            <w:color w:val="0000EE"/>
            <w:u w:val="single"/>
          </w:rPr>
          <w:t>[3]</w:t>
        </w:r>
      </w:hyperlink>
      <w:hyperlink r:id="rId13">
        <w:r>
          <w:rPr>
            <w:color w:val="0000EE"/>
            <w:u w:val="single"/>
          </w:rPr>
          <w:t>[7]</w:t>
        </w:r>
      </w:hyperlink>
      <w:r/>
    </w:p>
    <w:p>
      <w:r/>
      <w:r>
        <w:t xml:space="preserve">Third, FINRA warns of “Objective‑Function Drift,” where systems optimised for speed, efficiency or performance might reach superficially compliant results through noncompliant intermediate conduct. The regulator flags surveillance, alert triage and portfolio workflows as areas where mis‑specified objective functions can create direct Reg BI and market‑integrity exposures, and recommends compliance review of reward structures and objective design. Legal and consulting firms advising industry participants have similarly urged putting objective‑function design through compliance testing and control‑group validation. </w:t>
      </w:r>
      <w:hyperlink r:id="rId9">
        <w:r>
          <w:rPr>
            <w:color w:val="0000EE"/>
            <w:u w:val="single"/>
          </w:rPr>
          <w:t>[1]</w:t>
        </w:r>
      </w:hyperlink>
      <w:hyperlink r:id="rId14">
        <w:r>
          <w:rPr>
            <w:color w:val="0000EE"/>
            <w:u w:val="single"/>
          </w:rPr>
          <w:t>[6]</w:t>
        </w:r>
      </w:hyperlink>
      <w:r/>
    </w:p>
    <w:p>
      <w:r/>
      <w:r>
        <w:t xml:space="preserve">Fourth, “Competence Simulation Risk” addresses situations in which an automated system displays procedural confidence in domain‑specific tasks that outstrips its validated expertise, prompting business units to over‑rely on outputs that are not reproducible or explainable. FINRA’s analysis treats such competence simulation as a supervisory problem requiring validation, testing and, where appropriate, human escalation triggers. </w:t>
      </w:r>
      <w:hyperlink r:id="rId9">
        <w:r>
          <w:rPr>
            <w:color w:val="0000EE"/>
            <w:u w:val="single"/>
          </w:rPr>
          <w:t>[1]</w:t>
        </w:r>
      </w:hyperlink>
      <w:hyperlink r:id="rId12">
        <w:r>
          <w:rPr>
            <w:color w:val="0000EE"/>
            <w:u w:val="single"/>
          </w:rPr>
          <w:t>[5]</w:t>
        </w:r>
      </w:hyperlink>
      <w:hyperlink r:id="rId14">
        <w:r>
          <w:rPr>
            <w:color w:val="0000EE"/>
            <w:u w:val="single"/>
          </w:rPr>
          <w:t>[6]</w:t>
        </w:r>
      </w:hyperlink>
      <w:r/>
    </w:p>
    <w:p>
      <w:r/>
      <w:r>
        <w:t xml:space="preserve">The report also links automation risks to an evolving cybersecurity threatscape. FINRA identifies identity‑spoofing and deepfake‑enabled intrusions, QR‑based phishing (“quishing”), and rapidly mutating, AI‑generated malware as supervisoryly significant trends. It warns that automation used in incident response or security controls can compound regulatory risk if autonomous remediation actions are not logged, supervised and reversible. Several industry commentaries underscore the convergence of cyber and compliance risks when autonomous agents act without preserving process‑level reasoning. </w:t>
      </w:r>
      <w:hyperlink r:id="rId9">
        <w:r>
          <w:rPr>
            <w:color w:val="0000EE"/>
            <w:u w:val="single"/>
          </w:rPr>
          <w:t>[1]</w:t>
        </w:r>
      </w:hyperlink>
      <w:hyperlink r:id="rId10">
        <w:r>
          <w:rPr>
            <w:color w:val="0000EE"/>
            <w:u w:val="single"/>
          </w:rPr>
          <w:t>[3]</w:t>
        </w:r>
      </w:hyperlink>
      <w:hyperlink r:id="rId12">
        <w:r>
          <w:rPr>
            <w:color w:val="0000EE"/>
            <w:u w:val="single"/>
          </w:rPr>
          <w:t>[5]</w:t>
        </w:r>
      </w:hyperlink>
      <w:hyperlink r:id="rId13">
        <w:r>
          <w:rPr>
            <w:color w:val="0000EE"/>
            <w:u w:val="single"/>
          </w:rPr>
          <w:t>[7]</w:t>
        </w:r>
      </w:hyperlink>
      <w:r/>
    </w:p>
    <w:p>
      <w:r/>
      <w:r>
        <w:t xml:space="preserve">To address these challenges FINRA outlines effective practices and the market has coalesced around five strategic compliance priorities. Firms are advised to expand supervisory programmes to explicitly cover automated actors, defining authorised actions, escalation points and supervisory triggers tied to confidence scores or anomaly detection. They should implement full‑chain telemetry or “process reconstruction records” capturing intermediate tool calls and decision pathways and treat those logs as recordkeeping subject to Rule 17a‑4 retention. Firms should review objective and reward functions through a compliance lens, strengthen vendor diligence around embedded autonomous execution features, and reevaluate incident response planning so that automated remediation is auditable and reversible. Legal advisers and compliance consultants have reiterated those recommendations in recent guidance to member firms. </w:t>
      </w:r>
      <w:hyperlink r:id="rId9">
        <w:r>
          <w:rPr>
            <w:color w:val="0000EE"/>
            <w:u w:val="single"/>
          </w:rPr>
          <w:t>[1]</w:t>
        </w:r>
      </w:hyperlink>
      <w:hyperlink r:id="rId11">
        <w:r>
          <w:rPr>
            <w:color w:val="0000EE"/>
            <w:u w:val="single"/>
          </w:rPr>
          <w:t>[2]</w:t>
        </w:r>
      </w:hyperlink>
      <w:hyperlink r:id="rId12">
        <w:r>
          <w:rPr>
            <w:color w:val="0000EE"/>
            <w:u w:val="single"/>
          </w:rPr>
          <w:t>[5]</w:t>
        </w:r>
      </w:hyperlink>
      <w:hyperlink r:id="rId14">
        <w:r>
          <w:rPr>
            <w:color w:val="0000EE"/>
            <w:u w:val="single"/>
          </w:rPr>
          <w:t>[6]</w:t>
        </w:r>
      </w:hyperlink>
      <w:r/>
    </w:p>
    <w:p>
      <w:r/>
      <w:r>
        <w:t xml:space="preserve">The regulatory message is straightforward: as member firms move from experimentation to production automation, longstanding supervisory, books‑and‑records and governance obligations will apply to machines that act. According to FINRA’s report, firms that do not adapt their control frameworks risk supervisory findings not because an AI “hallucinates” in the colloquial sense but because its intermediate conduct substitutes for human acts that regulation expects to be supervised, documented and reconstructible. </w:t>
      </w:r>
      <w:hyperlink r:id="rId9">
        <w:r>
          <w:rPr>
            <w:color w:val="0000EE"/>
            <w:u w:val="single"/>
          </w:rPr>
          <w:t>[1]</w:t>
        </w:r>
      </w:hyperlink>
      <w:hyperlink r:id="rId10">
        <w:r>
          <w:rPr>
            <w:color w:val="0000EE"/>
            <w:u w:val="single"/>
          </w:rPr>
          <w:t>[3]</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(JD Supra / lead article synthesising FINRA Report) - Paragraph 1, Paragraph 2, Paragraph 3, Paragraph 4, Paragraph 5, Paragraph 6, Paragraph 7, Paragraph 8</w:t>
      </w:r>
      <w:r/>
    </w:p>
    <w:p>
      <w:pPr>
        <w:pStyle w:val="ListBullet"/>
        <w:spacing w:line="240" w:lineRule="auto"/>
        <w:ind w:left="720"/>
      </w:pPr>
      <w:r/>
      <w:hyperlink r:id="rId11">
        <w:r>
          <w:rPr>
            <w:color w:val="0000EE"/>
            <w:u w:val="single"/>
          </w:rPr>
          <w:t>[2]</w:t>
        </w:r>
      </w:hyperlink>
      <w:r>
        <w:t xml:space="preserve"> (FINRA weekly archive) - Paragraph 2, Paragraph 7</w:t>
      </w:r>
      <w:r/>
    </w:p>
    <w:p>
      <w:pPr>
        <w:pStyle w:val="ListBullet"/>
        <w:spacing w:line="240" w:lineRule="auto"/>
        <w:ind w:left="720"/>
      </w:pPr>
      <w:r/>
      <w:hyperlink r:id="rId10">
        <w:r>
          <w:rPr>
            <w:color w:val="0000EE"/>
            <w:u w:val="single"/>
          </w:rPr>
          <w:t>[3]</w:t>
        </w:r>
      </w:hyperlink>
      <w:r>
        <w:t xml:space="preserve"> (FINRA 2026 Annual Regulatory Oversight Report) - Paragraph 1, Paragraph 2, Paragraph 6, Paragraph 8</w:t>
      </w:r>
      <w:r/>
    </w:p>
    <w:p>
      <w:pPr>
        <w:pStyle w:val="ListBullet"/>
        <w:spacing w:line="240" w:lineRule="auto"/>
        <w:ind w:left="720"/>
      </w:pPr>
      <w:r/>
      <w:hyperlink r:id="rId12">
        <w:r>
          <w:rPr>
            <w:color w:val="0000EE"/>
            <w:u w:val="single"/>
          </w:rPr>
          <w:t>[5]</w:t>
        </w:r>
      </w:hyperlink>
      <w:r>
        <w:t xml:space="preserve"> (Snell &amp; Wilmer / similar industry commentary) - Paragraph 3, Paragraph 4, Paragraph 6, Paragraph 7</w:t>
      </w:r>
      <w:r/>
    </w:p>
    <w:p>
      <w:pPr>
        <w:pStyle w:val="ListBullet"/>
        <w:spacing w:line="240" w:lineRule="auto"/>
        <w:ind w:left="720"/>
      </w:pPr>
      <w:r/>
      <w:hyperlink r:id="rId14">
        <w:r>
          <w:rPr>
            <w:color w:val="0000EE"/>
            <w:u w:val="single"/>
          </w:rPr>
          <w:t>[6]</w:t>
        </w:r>
      </w:hyperlink>
      <w:r>
        <w:t xml:space="preserve"> (Debevoise article) - Paragraph 5, Paragraph 7</w:t>
      </w:r>
      <w:r/>
    </w:p>
    <w:p>
      <w:pPr>
        <w:pStyle w:val="ListBullet"/>
        <w:spacing w:line="240" w:lineRule="auto"/>
        <w:ind w:left="720"/>
      </w:pPr>
      <w:r/>
      <w:hyperlink r:id="rId13">
        <w:r>
          <w:rPr>
            <w:color w:val="0000EE"/>
            <w:u w:val="single"/>
          </w:rPr>
          <w:t>[7]</w:t>
        </w:r>
      </w:hyperlink>
      <w:r>
        <w:t xml:space="preserve"> (Global Relay commentary) - Paragraph 4, Paragraph 6</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https://www.jdsupra.com/legalnews/finra-s-2026-oversight-report-signals-a-4923301/</w:t>
        </w:r>
      </w:hyperlink>
      <w:r>
        <w:t xml:space="preserve"> - Please view link - unable to able to access data</w:t>
      </w:r>
      <w:r/>
    </w:p>
    <w:p>
      <w:pPr>
        <w:pStyle w:val="ListNumber"/>
        <w:spacing w:line="240" w:lineRule="auto"/>
        <w:ind w:left="720"/>
      </w:pPr>
      <w:r/>
      <w:hyperlink r:id="rId11">
        <w:r>
          <w:rPr>
            <w:color w:val="0000EE"/>
            <w:u w:val="single"/>
          </w:rPr>
          <w:t>https://www.finra.org/compliance-tools/weekly-archive/12102025</w:t>
        </w:r>
      </w:hyperlink>
      <w:r>
        <w:t xml:space="preserve"> - FINRA published its 2026 Annual Regulatory Oversight Report on December 10, 2025, earlier than usual to assist member firms with annual compliance planning. The report covers topics such as generative artificial intelligence (GenAI), cybersecurity, manipulative trading in small-cap equities, and third-party risk. For each topic, it identifies relevant rules, summarizes findings from recent oversight activities, outlines effective practices observed, and provides additional resources to help firms review their supervisory procedures and controls.</w:t>
      </w:r>
      <w:r/>
    </w:p>
    <w:p>
      <w:pPr>
        <w:pStyle w:val="ListNumber"/>
        <w:spacing w:line="240" w:lineRule="auto"/>
        <w:ind w:left="720"/>
      </w:pPr>
      <w:r/>
      <w:hyperlink r:id="rId10">
        <w:r>
          <w:rPr>
            <w:color w:val="0000EE"/>
            <w:u w:val="single"/>
          </w:rPr>
          <w:t>https://www.finra.org/rules-guidance/guidance/reports/2026-finra-annual-regulatory-oversight-report</w:t>
        </w:r>
      </w:hyperlink>
      <w:r>
        <w:t xml:space="preserve"> - The 2026 FINRA Annual Regulatory Oversight Report, published on December 9, 2025, provides insights into findings from FINRA’s regulatory operations programs. The report addresses a broad range of content, including a new topic area dedicated to GenAI: Continuing and Emerging Trends. It also highlights new content on various topics denoted in blue 'callout' boxes, including updates on FINRA Forward, an increase in small-cap fraud involving exchange-listed equities, and annual financial reporting reminders and updates for member firms.</w:t>
      </w:r>
      <w:r/>
    </w:p>
    <w:p>
      <w:pPr>
        <w:pStyle w:val="ListNumber"/>
        <w:spacing w:line="240" w:lineRule="auto"/>
        <w:ind w:left="720"/>
      </w:pPr>
      <w:r/>
      <w:hyperlink r:id="rId16">
        <w:r>
          <w:rPr>
            <w:color w:val="0000EE"/>
            <w:u w:val="single"/>
          </w:rPr>
          <w:t>https://www.finra.org/media-center/newsreleases/2025/finra-publishes-2025-regulatory-oversight-report</w:t>
        </w:r>
      </w:hyperlink>
      <w:r>
        <w:t xml:space="preserve"> - FINRA published its 2025 Regulatory Oversight Report on January 28, 2025. The report covers 24 topics, including new content. For each area, it identifies the relevant rule(s), summarizes noteworthy findings or observations, as well as effective practices observed from recent oversight activities, and provides additional resources that may be helpful to member firms in reviewing their supervisory procedures and controls and fulfilling their compliance obligations.</w:t>
      </w:r>
      <w:r/>
    </w:p>
    <w:p>
      <w:pPr>
        <w:pStyle w:val="ListNumber"/>
        <w:spacing w:line="240" w:lineRule="auto"/>
        <w:ind w:left="720"/>
      </w:pPr>
      <w:r/>
      <w:hyperlink r:id="rId12">
        <w:r>
          <w:rPr>
            <w:color w:val="0000EE"/>
            <w:u w:val="single"/>
          </w:rPr>
          <w:t>https://www.swlaw.com/publication/finras-2026-oversight-report-signals-a-supervisory-reckoning-for-autonomous-ai/</w:t>
        </w:r>
      </w:hyperlink>
      <w:r>
        <w:t xml:space="preserve"> - This article discusses FINRA's 2026 Annual Regulatory Oversight Report, highlighting the emergence of AI agents capable of autonomously performing tasks within brokerage workflows. It outlines four categories of elevated risk: Supervisory Substitution Risk, Books-and-Records Integrity Risk, Objective-Function Drift, and Competence Simulation Risk. The article also addresses cybersecurity threats, including identity-spoofing attacks, QR-based phishing, and rapidly mutating malware, and provides strategic recommendations for firms to enhance their compliance architecture in response to these challenges.</w:t>
      </w:r>
      <w:r/>
    </w:p>
    <w:p>
      <w:pPr>
        <w:pStyle w:val="ListNumber"/>
        <w:spacing w:line="240" w:lineRule="auto"/>
        <w:ind w:left="720"/>
      </w:pPr>
      <w:r/>
      <w:hyperlink r:id="rId14">
        <w:r>
          <w:rPr>
            <w:color w:val="0000EE"/>
            <w:u w:val="single"/>
          </w:rPr>
          <w:t>https://www.debevoise.com/insights/publications/2025/12/finras-2026-regulatory-oversight-report-continued</w:t>
        </w:r>
      </w:hyperlink>
      <w:r>
        <w:t xml:space="preserve"> - This article provides an overview of FINRA's 2026 Annual Regulatory Oversight Report, focusing on the emergence of AI agents capable of autonomously performing tasks within brokerage workflows. It discusses the risks associated with AI agents, including autonomy, scope and authority, auditability and transparency, data sensitivity, domain knowledge, and misaligned incentives. The article also highlights the unique risks of GenAI, such as bias, hallucinations, and privacy concerns, and offers recommendations for firms to develop supervisory processes tailored to the implementation of AI agents.</w:t>
      </w:r>
      <w:r/>
    </w:p>
    <w:p>
      <w:pPr>
        <w:pStyle w:val="ListNumber"/>
        <w:spacing w:line="240" w:lineRule="auto"/>
        <w:ind w:left="720"/>
      </w:pPr>
      <w:r/>
      <w:hyperlink r:id="rId13">
        <w:r>
          <w:rPr>
            <w:color w:val="0000EE"/>
            <w:u w:val="single"/>
          </w:rPr>
          <w:t>https://www.globalrelay.com/resources/thought-leadership/finra-2026-oversight-report-flags-genai-recordkeeping-and-cybersecurity-risks/</w:t>
        </w:r>
      </w:hyperlink>
      <w:r>
        <w:t xml:space="preserve"> - This article discusses FINRA's 2026 Annual Regulatory Oversight Report, highlighting notable risks and challenges that firms must be aware of, including AI agents acting autonomously without human validation or approval, acting beyond the user’s level of authority, complicated multi-step reasoning tasks making outcomes hard to trace or explain, and agents operating autonomously, unintentionally storing, exploring, disclosing, or misusing sensitive proprietary information. The article also emphasizes the need for firms using GenAI to ensure that communications comply with relevant regulatory rules and that GenAI and AI chatbot communications with investors are retained to meet recordkeeping requirements.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jdsupra.com/legalnews/finra-s-2026-oversight-report-signals-a-4923301/" TargetMode="External"/><Relationship Id="rId10" Type="http://schemas.openxmlformats.org/officeDocument/2006/relationships/hyperlink" Target="https://www.finra.org/rules-guidance/guidance/reports/2026-finra-annual-regulatory-oversight-report" TargetMode="External"/><Relationship Id="rId11" Type="http://schemas.openxmlformats.org/officeDocument/2006/relationships/hyperlink" Target="https://www.finra.org/compliance-tools/weekly-archive/12102025" TargetMode="External"/><Relationship Id="rId12" Type="http://schemas.openxmlformats.org/officeDocument/2006/relationships/hyperlink" Target="https://www.swlaw.com/publication/finras-2026-oversight-report-signals-a-supervisory-reckoning-for-autonomous-ai/" TargetMode="External"/><Relationship Id="rId13" Type="http://schemas.openxmlformats.org/officeDocument/2006/relationships/hyperlink" Target="https://www.globalrelay.com/resources/thought-leadership/finra-2026-oversight-report-flags-genai-recordkeeping-and-cybersecurity-risks/" TargetMode="External"/><Relationship Id="rId14" Type="http://schemas.openxmlformats.org/officeDocument/2006/relationships/hyperlink" Target="https://www.debevoise.com/insights/publications/2025/12/finras-2026-regulatory-oversight-report-continued" TargetMode="External"/><Relationship Id="rId15" Type="http://schemas.openxmlformats.org/officeDocument/2006/relationships/hyperlink" Target="https://www.noahwire.com" TargetMode="External"/><Relationship Id="rId16" Type="http://schemas.openxmlformats.org/officeDocument/2006/relationships/hyperlink" Target="https://www.finra.org/media-center/newsreleases/2025/finra-publishes-2025-regulatory-oversight-repo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