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governance tools bridge visibility gaps and enforce accountability amidst rising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organisations scale, governance fragments across teams, systems and policies, leaving leaders with poor visibility into how rules are applied day to day and increasing both operational risk and decision latency, according to a guide from People Managing People. The publication argues that AI should be treated as an enabling layer for governance , improving signal quality, consistency and oversight , rather than as a substitute for human judgment. </w:t>
      </w:r>
      <w:hyperlink r:id="rId9">
        <w:r>
          <w:rPr>
            <w:color w:val="0000EE"/>
            <w:u w:val="single"/>
          </w:rPr>
          <w:t>[1]</w:t>
        </w:r>
      </w:hyperlink>
      <w:r/>
    </w:p>
    <w:p>
      <w:r/>
      <w:r>
        <w:t xml:space="preserve">Practically, AI in governance covers multiple technology classes: oversight and exception escalation systems; policy interpretation and rule‑encoding engines; continuous monitoring and detection tools; risk‑pattern analysis; and auditability and traceability platforms. These classes change how information is captured, interpreted and recorded, creating continuous rather than episodic visibility into whether controls are applied as intended. People Managing People frames these as complementary to human accountability rather than replacements. </w:t>
      </w:r>
      <w:hyperlink r:id="rId9">
        <w:r>
          <w:rPr>
            <w:color w:val="0000EE"/>
            <w:u w:val="single"/>
          </w:rPr>
          <w:t>[1]</w:t>
        </w:r>
      </w:hyperlink>
      <w:r/>
    </w:p>
    <w:p>
      <w:r/>
      <w:r>
        <w:t xml:space="preserve">The business case is increasingly urgent. Industry reporting shows widespread gaps in AI risk coverage: IBM’s analysis finds that a large proportion of organisations report limited coverage of AI, particularly around technology, third‑party and model risks, leaving CIOs exposed if governance is not bolstered. That shortfall maps directly onto the kinds of blind spots governance AI is positioned to reduce. </w:t>
      </w:r>
      <w:hyperlink r:id="rId10">
        <w:r>
          <w:rPr>
            <w:color w:val="0000EE"/>
            <w:u w:val="single"/>
          </w:rPr>
          <w:t>[2]</w:t>
        </w:r>
      </w:hyperlink>
      <w:r/>
    </w:p>
    <w:p>
      <w:r/>
      <w:r>
        <w:t xml:space="preserve">Benefits are tangible but nuanced. People Managing People lists improved decision‑making, efficiency, compliance, personalised employee engagement and predictive insights as outcomes of well‑designed governance AI. Independent commentary underscores similar gains while flagging that these benefits materialise only when controls for bias, transparency and data privacy are integrated from the start. According to Forbes, ethical safeguards and robust policies are essential to ensure fairness and accountability in AI decision processes. </w:t>
      </w:r>
      <w:hyperlink r:id="rId9">
        <w:r>
          <w:rPr>
            <w:color w:val="0000EE"/>
            <w:u w:val="single"/>
          </w:rPr>
          <w:t>[1]</w:t>
        </w:r>
      </w:hyperlink>
      <w:hyperlink r:id="rId11">
        <w:r>
          <w:rPr>
            <w:color w:val="0000EE"/>
            <w:u w:val="single"/>
          </w:rPr>
          <w:t>[4]</w:t>
        </w:r>
      </w:hyperlink>
      <w:r/>
    </w:p>
    <w:p>
      <w:r/>
      <w:r>
        <w:t xml:space="preserve">The risks are equally significant and well documented. Public‑sector analysis highlights hazards with real human impact , from hallucinated outputs to biased or privacy‑violating decisions , underscoring the need for comprehensive due diligence when procuring and deploying AI tools. Security researchers point to “shadow AI” and sensitive data oversharing as common governance failures that can undermine otherwise promising AI deployments. Mitigation therefore requires both technical controls and strong policy design. </w:t>
      </w:r>
      <w:hyperlink r:id="rId12">
        <w:r>
          <w:rPr>
            <w:color w:val="0000EE"/>
            <w:u w:val="single"/>
          </w:rPr>
          <w:t>[3]</w:t>
        </w:r>
      </w:hyperlink>
      <w:hyperlink r:id="rId13">
        <w:r>
          <w:rPr>
            <w:color w:val="0000EE"/>
            <w:u w:val="single"/>
          </w:rPr>
          <w:t>[5]</w:t>
        </w:r>
      </w:hyperlink>
      <w:r/>
    </w:p>
    <w:p>
      <w:r/>
      <w:r>
        <w:t xml:space="preserve">Case studies from large firms and healthcare and pharmaceutical groups illustrate practical approaches. People Managing People describes IBM and Google using decentralised, adaptive governance frameworks to preserve transparency and accountability, while AstraZeneca’s ethics‑based auditing programme bridged high‑level principles with operational audits to standardise practices across units. These examples show patterns that successful adopters replicate: clear governance vision, iterative pilots, cross‑functional collaboration and scalable training. </w:t>
      </w:r>
      <w:hyperlink r:id="rId9">
        <w:r>
          <w:rPr>
            <w:color w:val="0000EE"/>
            <w:u w:val="single"/>
          </w:rPr>
          <w:t>[1]</w:t>
        </w:r>
      </w:hyperlink>
      <w:r/>
    </w:p>
    <w:p>
      <w:r/>
      <w:r>
        <w:t xml:space="preserve">The financial and compliance stakes are real. Reporting on regulatory and legal outcomes warns that lapses in AI governance can carry substantial costs , from settlements tied to algorithmic bias to reputational damage , making proactive investment pragmatic as well as ethical. Analysts recommend prioritising high‑impact pilots, establishing measurable success metrics and modelling ROI that accounts for risk mitigation as well as efficiency gains. </w:t>
      </w:r>
      <w:hyperlink r:id="rId14">
        <w:r>
          <w:rPr>
            <w:color w:val="0000EE"/>
            <w:u w:val="single"/>
          </w:rPr>
          <w:t>[6]</w:t>
        </w:r>
      </w:hyperlink>
      <w:hyperlink r:id="rId10">
        <w:r>
          <w:rPr>
            <w:color w:val="0000EE"/>
            <w:u w:val="single"/>
          </w:rPr>
          <w:t>[2]</w:t>
        </w:r>
      </w:hyperlink>
      <w:r/>
    </w:p>
    <w:p>
      <w:r/>
      <w:r>
        <w:t xml:space="preserve">Operationally, organisations should follow repeatable implementation patterns: assess current state and needs; define explicit success metrics; scope and phase pilots; design human–AI collaboration workflows; and embed feedback loops for continuous improvement. People Managing People emphasises that early, demonstrable wins build momentum, while external sources urge embedding AI governance into broader cybersecurity and risk management frameworks to avoid siloed controls. </w:t>
      </w:r>
      <w:hyperlink r:id="rId9">
        <w:r>
          <w:rPr>
            <w:color w:val="0000EE"/>
            <w:u w:val="single"/>
          </w:rPr>
          <w:t>[1]</w:t>
        </w:r>
      </w:hyperlink>
      <w:hyperlink r:id="rId13">
        <w:r>
          <w:rPr>
            <w:color w:val="0000EE"/>
            <w:u w:val="single"/>
          </w:rPr>
          <w:t>[5]</w:t>
        </w:r>
      </w:hyperlink>
      <w:r/>
    </w:p>
    <w:p>
      <w:r/>
      <w:r>
        <w:t xml:space="preserve">For leaders, the immediate task is pragmatic: close the AI risk‑coverage gap, invest in skills and training, and align deployment with ethical and regulatory requirements so that AI strengthens rather than fragments governance. As People Managing People concludes, AI can transform governance from reactive compliance to proactive stewardship , but only when organisations combine technology with clear policies, auditability and human oversight. </w:t>
      </w:r>
      <w:hyperlink r:id="rId9">
        <w:r>
          <w:rPr>
            <w:color w:val="0000EE"/>
            <w:u w:val="single"/>
          </w:rPr>
          <w:t>[1]</w:t>
        </w:r>
      </w:hyperlink>
      <w:hyperlink r:id="rId10">
        <w:r>
          <w:rPr>
            <w:color w:val="0000EE"/>
            <w:u w:val="single"/>
          </w:rPr>
          <w:t>[2]</w:t>
        </w:r>
      </w:hyperlink>
      <w:hyperlink r:id="rId11">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(People Managing People) - Paragraph 1, Paragraph 2, Paragraph 4, Paragraph 6, Paragraph 8, Paragraph 9 </w:t>
      </w:r>
      <w:r/>
    </w:p>
    <w:p>
      <w:pPr>
        <w:pStyle w:val="ListBullet"/>
        <w:spacing w:line="240" w:lineRule="auto"/>
        <w:ind w:left="720"/>
      </w:pPr>
      <w:r/>
      <w:hyperlink r:id="rId10">
        <w:r>
          <w:rPr>
            <w:color w:val="0000EE"/>
            <w:u w:val="single"/>
          </w:rPr>
          <w:t>[2]</w:t>
        </w:r>
      </w:hyperlink>
      <w:r>
        <w:t xml:space="preserve"> (IBM) - Paragraph 3, Paragraph 7, Paragraph 9 </w:t>
      </w:r>
      <w:r/>
    </w:p>
    <w:p>
      <w:pPr>
        <w:pStyle w:val="ListBullet"/>
        <w:spacing w:line="240" w:lineRule="auto"/>
        <w:ind w:left="720"/>
      </w:pPr>
      <w:r/>
      <w:hyperlink r:id="rId12">
        <w:r>
          <w:rPr>
            <w:color w:val="0000EE"/>
            <w:u w:val="single"/>
          </w:rPr>
          <w:t>[3]</w:t>
        </w:r>
      </w:hyperlink>
      <w:r>
        <w:t xml:space="preserve"> (CBIZ) - Paragraph 5 </w:t>
      </w:r>
      <w:r/>
    </w:p>
    <w:p>
      <w:pPr>
        <w:pStyle w:val="ListBullet"/>
        <w:spacing w:line="240" w:lineRule="auto"/>
        <w:ind w:left="720"/>
      </w:pPr>
      <w:r/>
      <w:hyperlink r:id="rId11">
        <w:r>
          <w:rPr>
            <w:color w:val="0000EE"/>
            <w:u w:val="single"/>
          </w:rPr>
          <w:t>[4]</w:t>
        </w:r>
      </w:hyperlink>
      <w:r>
        <w:t xml:space="preserve"> (Forbes) - Paragraph 4, Paragraph 9 </w:t>
      </w:r>
      <w:r/>
    </w:p>
    <w:p>
      <w:pPr>
        <w:pStyle w:val="ListBullet"/>
        <w:spacing w:line="240" w:lineRule="auto"/>
        <w:ind w:left="720"/>
      </w:pPr>
      <w:r/>
      <w:hyperlink r:id="rId13">
        <w:r>
          <w:rPr>
            <w:color w:val="0000EE"/>
            <w:u w:val="single"/>
          </w:rPr>
          <w:t>[5]</w:t>
        </w:r>
      </w:hyperlink>
      <w:r>
        <w:t xml:space="preserve"> (OpsinSecurity) - Paragraph 5, Paragraph 8 </w:t>
      </w:r>
      <w:r/>
    </w:p>
    <w:p>
      <w:pPr>
        <w:pStyle w:val="ListBullet"/>
        <w:spacing w:line="240" w:lineRule="auto"/>
        <w:ind w:left="720"/>
      </w:pPr>
      <w:r/>
      <w:hyperlink r:id="rId14">
        <w:r>
          <w:rPr>
            <w:color w:val="0000EE"/>
            <w:u w:val="single"/>
          </w:rPr>
          <w:t>[6]</w:t>
        </w:r>
      </w:hyperlink>
      <w:r>
        <w:t xml:space="preserve"> (Kellton)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https://peoplemanagingpeople.com/hr-strategy/ai-in-governance/</w:t>
        </w:r>
      </w:hyperlink>
      <w:r>
        <w:t xml:space="preserve"> - Please view link - unable to able to access data</w:t>
      </w:r>
      <w:r/>
    </w:p>
    <w:p>
      <w:pPr>
        <w:pStyle w:val="ListNumber"/>
        <w:spacing w:line="240" w:lineRule="auto"/>
        <w:ind w:left="720"/>
      </w:pPr>
      <w:r/>
      <w:hyperlink r:id="rId10">
        <w:r>
          <w:rPr>
            <w:color w:val="0000EE"/>
            <w:u w:val="single"/>
          </w:rPr>
          <w:t>https://www.ibm.com/think/insights/cios-ai-risk-governance-gap</w:t>
        </w:r>
      </w:hyperlink>
      <w:r>
        <w:t xml:space="preserve"> - This article discusses the critical gap in AI risk governance faced by Chief Information Officers (CIOs). It highlights that nearly 74% of surveyed organizations report limited coverage in their AI risk and governance frameworks, particularly concerning technology, third-party, and model risks. The piece emphasizes the importance of establishing robust AI governance frameworks to manage AI responsibly and mitigate potential risks effectively.</w:t>
      </w:r>
      <w:r/>
    </w:p>
    <w:p>
      <w:pPr>
        <w:pStyle w:val="ListNumber"/>
        <w:spacing w:line="240" w:lineRule="auto"/>
        <w:ind w:left="720"/>
      </w:pPr>
      <w:r/>
      <w:hyperlink r:id="rId12">
        <w:r>
          <w:rPr>
            <w:color w:val="0000EE"/>
            <w:u w:val="single"/>
          </w:rPr>
          <w:t>https://www.cbiz.com/insights/article/ai-governance-managing-the-risks-in-the-public-sector</w:t>
        </w:r>
      </w:hyperlink>
      <w:r>
        <w:t xml:space="preserve"> - This article examines the risks associated with AI implementation in the public sector, including potential impacts on human lives, public safety, and privacy rights. It highlights issues such as data hallucinations, bias, and the need for comprehensive governance frameworks to mitigate these risks. The piece underscores the importance of due diligence when selecting and implementing AI tools in public services.</w:t>
      </w:r>
      <w:r/>
    </w:p>
    <w:p>
      <w:pPr>
        <w:pStyle w:val="ListNumber"/>
        <w:spacing w:line="240" w:lineRule="auto"/>
        <w:ind w:left="720"/>
      </w:pPr>
      <w:r/>
      <w:hyperlink r:id="rId11">
        <w:r>
          <w:rPr>
            <w:color w:val="0000EE"/>
            <w:u w:val="single"/>
          </w:rPr>
          <w:t>https://www.forbes.com/councils/forbestechcouncil/2024/08/21/how-ai-will-impact-governance-risk-and-compliance-programs/</w:t>
        </w:r>
      </w:hyperlink>
      <w:r>
        <w:t xml:space="preserve"> - This article explores the impact of AI on governance, risk, and compliance programs. It discusses ethical concerns such as bias, discrimination, and lack of transparency in AI decision-making processes. The piece emphasizes the need for organizations to establish robust AI policies to ensure fairness, transparency, and accountability in AI systems, and to mitigate potential risks associated with AI implementation.</w:t>
      </w:r>
      <w:r/>
    </w:p>
    <w:p>
      <w:pPr>
        <w:pStyle w:val="ListNumber"/>
        <w:spacing w:line="240" w:lineRule="auto"/>
        <w:ind w:left="720"/>
      </w:pPr>
      <w:r/>
      <w:hyperlink r:id="rId13">
        <w:r>
          <w:rPr>
            <w:color w:val="0000EE"/>
            <w:u w:val="single"/>
          </w:rPr>
          <w:t>https://www.opsinsecurity.com/learn/ai-governance</w:t>
        </w:r>
      </w:hyperlink>
      <w:r>
        <w:t xml:space="preserve"> - This article provides an overview of AI governance, focusing on managing risks and implementing enterprise controls. It discusses common challenges and pitfalls in AI governance, such as 'shadow AI' proliferation, sensitive data oversharing, and policy noncompliance. The piece highlights the importance of establishing clear policies, conducting employee training, and integrating AI into cybersecurity frameworks to mitigate these risks effectively.</w:t>
      </w:r>
      <w:r/>
    </w:p>
    <w:p>
      <w:pPr>
        <w:pStyle w:val="ListNumber"/>
        <w:spacing w:line="240" w:lineRule="auto"/>
        <w:ind w:left="720"/>
      </w:pPr>
      <w:r/>
      <w:hyperlink r:id="rId14">
        <w:r>
          <w:rPr>
            <w:color w:val="0000EE"/>
            <w:u w:val="single"/>
          </w:rPr>
          <w:t>https://www.kellton.com/kellton-tech-blog/ai-governance-competitive-advantage</w:t>
        </w:r>
      </w:hyperlink>
      <w:r>
        <w:t xml:space="preserve"> - This article discusses the competitive advantages and risks associated with AI governance. It presents real-world use cases, including a $50 million algorithmic bias settlement in the financial services sector and gender bias in recruitment AI. The piece emphasizes the necessity of proactive AI risk management and highlights the importance of establishing robust governance frameworks to prevent costly liabilities and ensure responsible AI use.</w:t>
      </w:r>
      <w:r/>
    </w:p>
    <w:p>
      <w:pPr>
        <w:pStyle w:val="ListNumber"/>
        <w:spacing w:line="240" w:lineRule="auto"/>
        <w:ind w:left="720"/>
      </w:pPr>
      <w:r/>
      <w:hyperlink r:id="rId12">
        <w:r>
          <w:rPr>
            <w:color w:val="0000EE"/>
            <w:u w:val="single"/>
          </w:rPr>
          <w:t>https://www.cbiz.com/insights/article/ai-governance-managing-the-risks-in-the-public-sector</w:t>
        </w:r>
      </w:hyperlink>
      <w:r>
        <w:t xml:space="preserve"> - This article examines the risks associated with AI implementation in the public sector, including potential impacts on human lives, public safety, and privacy rights. It highlights issues such as data hallucinations, bias, and the need for comprehensive governance frameworks to mitigate these risks. The piece underscores the importance of due diligence when selecting and implementing AI tools in public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oplemanagingpeople.com/hr-strategy/ai-in-governance/" TargetMode="External"/><Relationship Id="rId10" Type="http://schemas.openxmlformats.org/officeDocument/2006/relationships/hyperlink" Target="https://www.ibm.com/think/insights/cios-ai-risk-governance-gap" TargetMode="External"/><Relationship Id="rId11" Type="http://schemas.openxmlformats.org/officeDocument/2006/relationships/hyperlink" Target="https://www.forbes.com/councils/forbestechcouncil/2024/08/21/how-ai-will-impact-governance-risk-and-compliance-programs/" TargetMode="External"/><Relationship Id="rId12" Type="http://schemas.openxmlformats.org/officeDocument/2006/relationships/hyperlink" Target="https://www.cbiz.com/insights/article/ai-governance-managing-the-risks-in-the-public-sector" TargetMode="External"/><Relationship Id="rId13" Type="http://schemas.openxmlformats.org/officeDocument/2006/relationships/hyperlink" Target="https://www.opsinsecurity.com/learn/ai-governance" TargetMode="External"/><Relationship Id="rId14" Type="http://schemas.openxmlformats.org/officeDocument/2006/relationships/hyperlink" Target="https://www.kellton.com/kellton-tech-blog/ai-governance-competitive-advantag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