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Japan's rate hike triggers volatility in crypto market amid year-end thin trading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Bank of Japan’s decision on 19 December 2025 to raise its policy rate to 0.75% has injected a fresh layer of uncertainty into an already sensitive crypto market, heightening the odds of sharp, idiosyncratic moves as year-end liquidity thins. The move, the BOJ’s first meaningful step away from decades of ultra-low rates and the highest policy setting since 1995, shifts a long-standing global funding dynamic that has helped sustain leveraged positions across risk assets, including cryptocurrencies. </w:t>
      </w:r>
      <w:hyperlink r:id="rId9">
        <w:r>
          <w:rPr>
            <w:color w:val="0000EE"/>
            <w:u w:val="single"/>
          </w:rPr>
          <w:t>[1]</w:t>
        </w:r>
      </w:hyperlink>
      <w:hyperlink r:id="rId10">
        <w:r>
          <w:rPr>
            <w:color w:val="0000EE"/>
            <w:u w:val="single"/>
          </w:rPr>
          <w:t>[2]</w:t>
        </w:r>
      </w:hyperlink>
      <w:r/>
    </w:p>
    <w:p>
      <w:r/>
      <w:r>
        <w:t xml:space="preserve">Markets largely expected the 25 basis-point increase,but its timing and the surrounding market structure matter for crypto traders. Central bank commentary and the signal of further normalisation are as important as the headline number itself; the BOJ emphasised readiness to raise rates further if economic forecasts hold,even as board members disagreed internally over inflation timelines and external risks. That ambiguity feeds into cross-asset positioning and can amplify reactions in thin trading windows. According to Reuters, Japan’s core consumer inflation remained around 3.0%,supporting the case for tightening. </w:t>
      </w:r>
      <w:hyperlink r:id="rId10">
        <w:r>
          <w:rPr>
            <w:color w:val="0000EE"/>
            <w:u w:val="single"/>
          </w:rPr>
          <w:t>[2]</w:t>
        </w:r>
      </w:hyperlink>
      <w:hyperlink r:id="rId11">
        <w:r>
          <w:rPr>
            <w:color w:val="0000EE"/>
            <w:u w:val="single"/>
          </w:rPr>
          <w:t>[4]</w:t>
        </w:r>
      </w:hyperlink>
      <w:r/>
    </w:p>
    <w:p>
      <w:r/>
      <w:r>
        <w:t xml:space="preserve">One direct channel from the BOJ decision into crypto is the yen carry trade. When Japanese rates rise, borrowing in yen becomes less attractive,reducing the appeal of leveraged, cross-border carry strategies that have historically helped finance positions in equities and crypto. Industry commentary and market participants noted that even a modest rise in Japanese funding costs can prompt deleveraging or position reduction,with knock-on effects across derivatives markets. </w:t>
      </w:r>
      <w:hyperlink r:id="rId9">
        <w:r>
          <w:rPr>
            <w:color w:val="0000EE"/>
            <w:u w:val="single"/>
          </w:rPr>
          <w:t>[1]</w:t>
        </w:r>
      </w:hyperlink>
      <w:hyperlink r:id="rId12">
        <w:r>
          <w:rPr>
            <w:color w:val="0000EE"/>
            <w:u w:val="single"/>
          </w:rPr>
          <w:t>[7]</w:t>
        </w:r>
      </w:hyperlink>
      <w:r/>
    </w:p>
    <w:p>
      <w:r/>
      <w:r>
        <w:t xml:space="preserve">Currency moves compounded the story. The yen initially weakened slightly after the announcement,reflecting market focus on Governor Kazuo Ueda’s guidance and the balance between avoiding a weak yen that fuels import-driven inflation and normalising policy. Yet a stronger yen would pressure risk positions financed in yen,forcing unwinds that can depress prices quickly. Reuters reported the yen’s modest depreciation to about 155.94 per dollar immediately after the hike. </w:t>
      </w:r>
      <w:hyperlink r:id="rId11">
        <w:r>
          <w:rPr>
            <w:color w:val="0000EE"/>
            <w:u w:val="single"/>
          </w:rPr>
          <w:t>[4]</w:t>
        </w:r>
      </w:hyperlink>
      <w:hyperlink r:id="rId10">
        <w:r>
          <w:rPr>
            <w:color w:val="0000EE"/>
            <w:u w:val="single"/>
          </w:rPr>
          <w:t>[2]</w:t>
        </w:r>
      </w:hyperlink>
      <w:r/>
    </w:p>
    <w:p>
      <w:r/>
      <w:r>
        <w:t xml:space="preserve">Market structure in crypto makes these macro shocks prone to overshoot. Derivatives exposures,concentrated leverage and "liquidation clusters" mean that even routine macro headlines can trigger cascades of forced selling or rapid short squeezes. That pattern is visible in recent history: analysts and industry blogs have pointed to sharp Bitcoin drawdowns around prior BOJ adjustments,arguing that unwind mechanics amplified moves in 2024 and 2025. However,reports differ on magnitude and causality; while some market commentators warned of potential 20–30% corrections,mainstream financial coverage described a more measured market response with regional equities rising the same day. </w:t>
      </w:r>
      <w:hyperlink r:id="rId9">
        <w:r>
          <w:rPr>
            <w:color w:val="0000EE"/>
            <w:u w:val="single"/>
          </w:rPr>
          <w:t>[1]</w:t>
        </w:r>
      </w:hyperlink>
      <w:hyperlink r:id="rId12">
        <w:r>
          <w:rPr>
            <w:color w:val="0000EE"/>
            <w:u w:val="single"/>
          </w:rPr>
          <w:t>[7]</w:t>
        </w:r>
      </w:hyperlink>
      <w:hyperlink r:id="rId13">
        <w:r>
          <w:rPr>
            <w:color w:val="0000EE"/>
            <w:u w:val="single"/>
          </w:rPr>
          <w:t>[3]</w:t>
        </w:r>
      </w:hyperlink>
      <w:r/>
    </w:p>
    <w:p>
      <w:r/>
      <w:r>
        <w:t xml:space="preserve">The broader global backdrop moderates and complicates the implications for crypto. U.S. inflation surprises and expectations for Federal Reserve policy remain dominant drivers of global risk appetite; a softer U.S. inflation print in mid-December rekindled hopes of Fed easing and helped equities and some crypto assets rally. Asian markets,including Japan’s Nikkei, advanced on the day of the BOJ move,illustrating the cross-currents shaping risk assets. According to AP and Reuters, investors were parsing both the BOJ's tightening and signals that U.S. inflation trends might permit easier policy next year. </w:t>
      </w:r>
      <w:hyperlink r:id="rId13">
        <w:r>
          <w:rPr>
            <w:color w:val="0000EE"/>
            <w:u w:val="single"/>
          </w:rPr>
          <w:t>[3]</w:t>
        </w:r>
      </w:hyperlink>
      <w:hyperlink r:id="rId14">
        <w:r>
          <w:rPr>
            <w:color w:val="0000EE"/>
            <w:u w:val="single"/>
          </w:rPr>
          <w:t>[5]</w:t>
        </w:r>
      </w:hyperlink>
      <w:r/>
    </w:p>
    <w:p>
      <w:r/>
      <w:r>
        <w:t xml:space="preserve">Timing amplifies risk. Year-end trading is characterised by thinner order books and institutional rebalancing,conditions that can turn routine macro updates into outsized price moves. Market participants should therefore expect an elevated range of outcomes in the immediate weeks after the BOJ decision, both sharper sell-offs if deleveraging dominates and abrupt rebounds if markets view the hike as controlled normalisation that restores confidence. </w:t>
      </w:r>
      <w:hyperlink r:id="rId9">
        <w:r>
          <w:rPr>
            <w:color w:val="0000EE"/>
            <w:u w:val="single"/>
          </w:rPr>
          <w:t>[1]</w:t>
        </w:r>
      </w:hyperlink>
      <w:hyperlink r:id="rId14">
        <w:r>
          <w:rPr>
            <w:color w:val="0000EE"/>
            <w:u w:val="single"/>
          </w:rPr>
          <w:t>[5]</w:t>
        </w:r>
      </w:hyperlink>
      <w:r/>
    </w:p>
    <w:p>
      <w:r/>
      <w:r>
        <w:t xml:space="preserve">For crypto investors and risk managers,the practical checklist is straightforward: monitor BOJ communications for signs of a sustained tightening path;watch yen direction and Japanese bond yields for funding-stress signals;track derivatives open interest and potential liquidation bands;and keep an eye on U.S. inflation and Fed guidance that could counter or compound Japan-driven flows. Regulatory or institutional headlines in crypto could further amplify moves,so cross-asset context remains crucial.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The BOJ’s move is not a deterministic sell signal for crypto,but it widens possible outcomes. Where markets go from here will depend on the interplay of central-bank guidance,currency dynamics,liquidity conditions and the structural vulnerabilities of crypto markets themselves. Short-term volatility is the most likely near-term outcome;whether that evolves into a sustained downtrend or a sharp but transient episode of price discovery will hinge on policy clarity and how quickly leveraged positions are adjusted. </w:t>
      </w:r>
      <w:hyperlink r:id="rId9">
        <w:r>
          <w:rPr>
            <w:color w:val="0000EE"/>
            <w:u w:val="single"/>
          </w:rPr>
          <w:t>[1]</w:t>
        </w:r>
      </w:hyperlink>
      <w:hyperlink r:id="rId10">
        <w:r>
          <w:rPr>
            <w:color w:val="0000EE"/>
            <w:u w:val="single"/>
          </w:rPr>
          <w:t>[2]</w:t>
        </w:r>
      </w:hyperlink>
      <w:hyperlink r:id="rId13">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(EditorialGe) - Paragraph 1, Paragraph 3, Paragraph 7, Paragraph 8, Paragraph 9</w:t>
      </w:r>
      <w:r/>
    </w:p>
    <w:p>
      <w:pPr>
        <w:pStyle w:val="ListBullet"/>
        <w:spacing w:line="240" w:lineRule="auto"/>
        <w:ind w:left="720"/>
      </w:pPr>
      <w:r/>
      <w:hyperlink r:id="rId10">
        <w:r>
          <w:rPr>
            <w:color w:val="0000EE"/>
            <w:u w:val="single"/>
          </w:rPr>
          <w:t>[2]</w:t>
        </w:r>
      </w:hyperlink>
      <w:r>
        <w:t xml:space="preserve"> (Reuters) - Paragraph 1, Paragraph 2, Paragraph 4, Paragraph 9</w:t>
      </w:r>
      <w:r/>
    </w:p>
    <w:p>
      <w:pPr>
        <w:pStyle w:val="ListBullet"/>
        <w:spacing w:line="240" w:lineRule="auto"/>
        <w:ind w:left="720"/>
      </w:pPr>
      <w:r/>
      <w:hyperlink r:id="rId13">
        <w:r>
          <w:rPr>
            <w:color w:val="0000EE"/>
            <w:u w:val="single"/>
          </w:rPr>
          <w:t>[3]</w:t>
        </w:r>
      </w:hyperlink>
      <w:r>
        <w:t xml:space="preserve"> (Reuters) - Paragraph 6, Paragraph 9</w:t>
      </w:r>
      <w:r/>
    </w:p>
    <w:p>
      <w:pPr>
        <w:pStyle w:val="ListBullet"/>
        <w:spacing w:line="240" w:lineRule="auto"/>
        <w:ind w:left="720"/>
      </w:pPr>
      <w:r/>
      <w:hyperlink r:id="rId11">
        <w:r>
          <w:rPr>
            <w:color w:val="0000EE"/>
            <w:u w:val="single"/>
          </w:rPr>
          <w:t>[4]</w:t>
        </w:r>
      </w:hyperlink>
      <w:r>
        <w:t xml:space="preserve"> (Reuters) - Paragraph 2, Paragraph 4, Paragraph 6</w:t>
      </w:r>
      <w:r/>
    </w:p>
    <w:p>
      <w:pPr>
        <w:pStyle w:val="ListBullet"/>
        <w:spacing w:line="240" w:lineRule="auto"/>
        <w:ind w:left="720"/>
      </w:pPr>
      <w:r/>
      <w:hyperlink r:id="rId14">
        <w:r>
          <w:rPr>
            <w:color w:val="0000EE"/>
            <w:u w:val="single"/>
          </w:rPr>
          <w:t>[5]</w:t>
        </w:r>
      </w:hyperlink>
      <w:r>
        <w:t xml:space="preserve"> (AP) - Paragraph 6, Paragraph 7</w:t>
      </w:r>
      <w:r/>
    </w:p>
    <w:p>
      <w:pPr>
        <w:pStyle w:val="ListBullet"/>
        <w:spacing w:line="240" w:lineRule="auto"/>
        <w:ind w:left="720"/>
      </w:pPr>
      <w:r/>
      <w:hyperlink r:id="rId12">
        <w:r>
          <w:rPr>
            <w:color w:val="0000EE"/>
            <w:u w:val="single"/>
          </w:rPr>
          <w:t>[7]</w:t>
        </w:r>
      </w:hyperlink>
      <w:r>
        <w:t xml:space="preserve"> (MEXC blog)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https://editorialge.com/crypto-markets-brace-for-volatility/</w:t>
        </w:r>
      </w:hyperlink>
      <w:r>
        <w:t xml:space="preserve"> - Please view link - unable to able to access data</w:t>
      </w:r>
      <w:r/>
    </w:p>
    <w:p>
      <w:pPr>
        <w:pStyle w:val="ListNumber"/>
        <w:spacing w:line="240" w:lineRule="auto"/>
        <w:ind w:left="720"/>
      </w:pPr>
      <w:r/>
      <w:hyperlink r:id="rId10">
        <w:r>
          <w:rPr>
            <w:color w:val="0000EE"/>
            <w:u w:val="single"/>
          </w:rPr>
          <w:t>https://www.reuters.com/world/asia-pacific/bank-japan-set-raise-interest-rates-30-year-high-2025-12-18/</w:t>
        </w:r>
      </w:hyperlink>
      <w:r>
        <w:t xml:space="preserve"> - On December 19, 2025, the Bank of Japan (BOJ) raised short-term interest rates from 0.5% to 0.75%, marking the highest level since 1995 and signalling a shift away from decades of ultra-loose monetary policy. This move reflects the BOJ's confidence in Japan's economic stability and the expectation that the country will sustainably achieve its 2% inflation target, fuelled by rising wages and continued corporate optimism. The rate hike, which was unanimously approved, aligns with the BOJ's strategy to gradually normalise interest rates while managing inflation and preventing excessive yen depreciation. Despite the broadly expected nature of the decision, its impact was felt in financial markets as the yen weakened and 10-year government bond yields reached their highest level since 2006. The BOJ emphasised its readiness to raise rates further if economic forecasts hold. However, internal disagreements within the board about inflation timelines and external risks, such as global economic uncertainty, complicate future policy direction. Governor Ueda faces the challenge of balancing market expectations with economic realities, particularly in avoiding a weak yen that could stoke inflation through higher import costs. The core consumer inflation rate remains elevated at 3.0%, further supporting the case for policy tightening.</w:t>
      </w:r>
      <w:r/>
    </w:p>
    <w:p>
      <w:pPr>
        <w:pStyle w:val="ListNumber"/>
        <w:spacing w:line="240" w:lineRule="auto"/>
        <w:ind w:left="720"/>
      </w:pPr>
      <w:r/>
      <w:hyperlink r:id="rId13">
        <w:r>
          <w:rPr>
            <w:color w:val="0000EE"/>
            <w:u w:val="single"/>
          </w:rPr>
          <w:t>https://www.reuters.com/world/china/global-markets-global-markets-2025-12-19/</w:t>
        </w:r>
      </w:hyperlink>
      <w:r>
        <w:t xml:space="preserve"> - Asian stock markets rose following gains on Wall Street, with Japan’s Nikkei increasing 1.3%, South Korea up 0.8%, and Taiwan climbing 1.3%. This uptick came as the Bank of Japan raised interest rates to 0.75%, a three-decade high, signalling potential further tightening. The yen weakened slightly after the hike, and investors are awaiting BOJ Governor Kazuo Ueda's detailed outlook. Although markets expect only one more hike to 1.0% in 2026, Ueda's neutral range suggests rates could reach up to 2.5%. Japan’s core CPI remained at 3.0% in November. The broader MSCI Asia-Pacific index rose 0.7%, while Chinese blue chips gained 0.6%. ByteDance, TikTok’s Chinese parent company, announced a deal to operate the U.S. app through a joint venture. Meanwhile, European markets edged lower and U.S. futures were mixed after a surprise drop in U.S. consumer inflation to 2.7%, though the data may be skewed by the government shutdown. In other central bank moves, the ECB held rates at 2.0% with a hawkish tone, and the Bank of England signalled a cautious path forward after a narrow rate cut vote. Oil prices eased slightly amid concerns over Russian sanctions and Venezuelan oil supply disruptions.</w:t>
      </w:r>
      <w:r/>
    </w:p>
    <w:p>
      <w:pPr>
        <w:pStyle w:val="ListNumber"/>
        <w:spacing w:line="240" w:lineRule="auto"/>
        <w:ind w:left="720"/>
      </w:pPr>
      <w:r/>
      <w:hyperlink r:id="rId11">
        <w:r>
          <w:rPr>
            <w:color w:val="0000EE"/>
            <w:u w:val="single"/>
          </w:rPr>
          <w:t>https://www.reuters.com/world/asia-pacific/fragile-yen-tenterhooks-ahead-boj-2025-12-19/</w:t>
        </w:r>
      </w:hyperlink>
      <w:r>
        <w:t xml:space="preserve"> - On December 19, 2025, the Bank of Japan (BOJ) raised its policy rate from 0.5% to 0.75%, a widely anticipated move that caused the yen to weaken slightly by 0.25% to 155.94 per dollar. Although the rate hike was expected, markets are now focused on BOJ Governor Kazuo Ueda's upcoming press conference to gauge the likelihood of further rate increases, especially with real interest rates still considered "significantly" low. Market participants speculate the neutral rate could be between 1% and 1.25%, but see challenges ahead for BOJ policy normalisation. Elsewhere, the euro and British pound gained slightly against the yen. The dollar saw brief weakness due to a sharp but unreliable drop in U.S. inflation, influenced by a data collection delay during a government shutdown. The Bank of England cut rates to 3.75%, while the ECB held rates at 2% with no clear guidance from President Christine Lagarde, dampening hawkish expectations. In Scandinavia, both Norway and Sweden held interest rates steady. The Chinese yuan remained strong, while the Korean won was under pressure. Bitcoin and ether rebounded, rising 1.3% and over 3% respectively. The EU agreed to fund Ukraine through borrowing, bypassing a controversial plan to use frozen Russian assets.</w:t>
      </w:r>
      <w:r/>
    </w:p>
    <w:p>
      <w:pPr>
        <w:pStyle w:val="ListNumber"/>
        <w:spacing w:line="240" w:lineRule="auto"/>
        <w:ind w:left="720"/>
      </w:pPr>
      <w:r/>
      <w:hyperlink r:id="rId14">
        <w:r>
          <w:rPr>
            <w:color w:val="0000EE"/>
            <w:u w:val="single"/>
          </w:rPr>
          <w:t>https://apnews.com/article/542b9b8f63f303ba1c0b183fc14737b7</w:t>
        </w:r>
      </w:hyperlink>
      <w:r>
        <w:t xml:space="preserve"> - Asian stock markets advanced moderately following a 0.25 percentage point rate hike by the Bank of Japan (BOJ), lifting its benchmark rate to 0.75%—the highest in 30 years but still low compared to global peers. The markets reacted calmly to the decision, with regional indices posting gains: Japan's Nikkei 225 rose 1.2%, Hong Kong's Hang Seng 0.4%, Shanghai 0.5%, South Korea's Kospi 0.5%, and Taiwan 0.9%, while India’s Sensex dipped 0.2%. These gains followed Wall Street’s rise on Thursday, spurred by a better-than-expected U.S. inflation report indicating a lower monthly rate of 2.7%. This raises hopes that the Federal Reserve may cut interest rates next year. The S&amp;P 500 gained 0.8%, the Dow Jones rose 0.1%, and the Nasdaq jumped 1.4%, driven by tech stocks like Micron Technology, which soared 10.2% after strong earnings. Meanwhile, the Bank of England cut its key rate and the European Central Bank held steady. Notable stock movers included Nvidia (+1.8%), Oracle (+0.9%), and Trump Media &amp; Technology Group, which surged 41.9% after announcing a merger with TAE Technologies. Oil prices edged lower, and bitcoin climbed to $86,900.</w:t>
      </w:r>
      <w:r/>
    </w:p>
    <w:p>
      <w:pPr>
        <w:pStyle w:val="ListNumber"/>
        <w:spacing w:line="240" w:lineRule="auto"/>
        <w:ind w:left="720"/>
      </w:pPr>
      <w:r/>
      <w:hyperlink r:id="rId16">
        <w:r>
          <w:rPr>
            <w:color w:val="0000EE"/>
            <w:u w:val="single"/>
          </w:rPr>
          <w:t>https://apnews.com/article/cd9ce451cc63b2d6c6932adc3b138684</w:t>
        </w:r>
      </w:hyperlink>
      <w:r>
        <w:t xml:space="preserve"> - On December 19, 2025, the Bank of Japan (BOJ) raised its benchmark short-term interest rate by 0.25% to 0.75%, marking its highest level since 1995. This move reflects the BOJ's confidence in Japan’s economic outlook despite the country’s recent 2.3% economic contraction. The rate hike, although modest by global standards, is significant for Japan, where rates had been kept near zero or negative for decades to combat deflation and sluggish growth. The decision comes amid rising inflation driven by a weakened yen, which has increased the cost of imports. The BOJ sees inflation becoming more entrenched and appears poised for further hikes. This shift could strengthen the yen and signal a broader normalisation of Japan's monetary policy. The rate hike could disrupt global markets, particularly affecting the "carry trade" strategy used by investors. It also pressured assets like cryptocurrencies, with Bitcoin dropping significantly in anticipation. Overall, the move signals a strategic shift by the BOJ to balance inflation control with economic growth amid changing domestic and global conditions.</w:t>
      </w:r>
      <w:r/>
    </w:p>
    <w:p>
      <w:pPr>
        <w:pStyle w:val="ListNumber"/>
        <w:spacing w:line="240" w:lineRule="auto"/>
        <w:ind w:left="720"/>
      </w:pPr>
      <w:r/>
      <w:hyperlink r:id="rId12">
        <w:r>
          <w:rPr>
            <w:color w:val="0000EE"/>
            <w:u w:val="single"/>
          </w:rPr>
          <w:t>https://blog.mexc.com/news/bank-of-japan-set-to-hike-rates-december-19-bitcoin-faces-70k-risk-as-history-shows-20-31-crashes-after-boj-moves/</w:t>
        </w:r>
      </w:hyperlink>
      <w:r>
        <w:t xml:space="preserve"> - Bitcoin’s next major threat isn’t regulatory crackdowns or exchange collapses—it’s a 25 basis point rate hike from the Bank of Japan scheduled for December 18-19, 2025. With Polymarket showing 98% probability and Bloomberg data confirming 91.4% analyst consensus, Japan’s central bank is virtually certain to raise its policy rate from 0.50% to 0.75%—the highest level in 30 years. For Bitcoin, which currently struggles at $89,000 after Fed Chair Powell’s hawkish guidance last week, the BoJ decision could trigger the catastrophic final leg down that sends BTC crashing toward $70,000 or lower. The historical pattern is undeniable and terrifying: Every single Bank of Japan rate hike since March 2024 has preceded Bitcoin crashes exceeding 20%. Analyst AndrewBTC documented the carnage: March 2024 hike → Bitcoin -23%; July 2024 hike → Bitcoin -26%; January 2025 hike → Bitcoin -31%. If the pattern repeats December 19, BTC—already down 28% from October’s $126,000 all-time high—faces another 20-30% decline, pushing prices toward $70,000 support or potentially breaking into the $60,000s for the first time since early 2024. The mechanism behind these crashes is the yen carry trade—the $1+ trillion strategy where investors borrow cheap yen, convert to dollars, and buy risk assets like Bitcoin. When Japan raises rates, borrowing yen becomes expensive. Traders must unwind positions: sell Bitcoin → buy yen → repay loans. With Japanese 10-year bond yields hitting 2.94% (highest since 1998) and Japan holding $1.1 trillion in U.S. debt (largest foreign holder), the December 19 decision reverberates far beyond Tokyo. For crypto markets already battered by Powell’s hawkishness, BoJ tightening could deliver the knockout punch.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ditorialge.com/crypto-markets-brace-for-volatility/" TargetMode="External"/><Relationship Id="rId10" Type="http://schemas.openxmlformats.org/officeDocument/2006/relationships/hyperlink" Target="https://www.reuters.com/world/asia-pacific/bank-japan-set-raise-interest-rates-30-year-high-2025-12-18/" TargetMode="External"/><Relationship Id="rId11" Type="http://schemas.openxmlformats.org/officeDocument/2006/relationships/hyperlink" Target="https://www.reuters.com/world/asia-pacific/fragile-yen-tenterhooks-ahead-boj-2025-12-19/" TargetMode="External"/><Relationship Id="rId12" Type="http://schemas.openxmlformats.org/officeDocument/2006/relationships/hyperlink" Target="https://blog.mexc.com/news/bank-of-japan-set-to-hike-rates-december-19-bitcoin-faces-70k-risk-as-history-shows-20-31-crashes-after-boj-moves/" TargetMode="External"/><Relationship Id="rId13" Type="http://schemas.openxmlformats.org/officeDocument/2006/relationships/hyperlink" Target="https://www.reuters.com/world/china/global-markets-global-markets-2025-12-19/" TargetMode="External"/><Relationship Id="rId14" Type="http://schemas.openxmlformats.org/officeDocument/2006/relationships/hyperlink" Target="https://apnews.com/article/542b9b8f63f303ba1c0b183fc14737b7" TargetMode="External"/><Relationship Id="rId15" Type="http://schemas.openxmlformats.org/officeDocument/2006/relationships/hyperlink" Target="https://www.noahwire.com" TargetMode="External"/><Relationship Id="rId16" Type="http://schemas.openxmlformats.org/officeDocument/2006/relationships/hyperlink" Target="https://apnews.com/article/cd9ce451cc63b2d6c6932adc3b1386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