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volatility in 2026: AI bubbles, geopolitical shocks, and trader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As 2026 looms, traders are adjusting to a market less governed by clear consensus than by competing narratives: AI-driven rallies, geopolitical shocks, shifting monetary policy and concerns about market concentration have combined to make volatility feel as if it is permanently “on standby”. According to an interview with Simon Massey, CEO and Co‑Founder of Funded Trading Plus, the most dangerous habit for traders now is “anchoring themselves to a single narrative,” and practical preparation matters far more than prediction. </w:t>
      </w:r>
      <w:hyperlink r:id="rId9">
        <w:r>
          <w:rPr>
            <w:color w:val="0000EE"/>
            <w:u w:val="single"/>
          </w:rPr>
          <w:t>[1]</w:t>
        </w:r>
      </w:hyperlink>
      <w:r/>
    </w:p>
    <w:p>
      <w:r/>
      <w:r>
        <w:t xml:space="preserve">The central debate heading into next year is whether the AI boom represents a structural technological shift or a fragile concentration‑driven bubble. Institutional forecasts underline both the upside and the fragility: Citi has set a 2026 year‑end S&amp;P 500 target of 7,700 on strong earnings and continued AI momentum, while UBS and other brokerages also project significant gains, even as they warn that high valuations raise the risk of sharp dislocations. Industry data shows many forecasts assume robust earnings growth supported by AI investment, but analysts flag that elevated valuations and crowded positions increase the chance of abrupt market moves. </w:t>
      </w:r>
      <w:hyperlink r:id="rId10">
        <w:r>
          <w:rPr>
            <w:color w:val="0000EE"/>
            <w:u w:val="single"/>
          </w:rPr>
          <w:t>[2]</w:t>
        </w:r>
      </w:hyperlink>
      <w:hyperlink r:id="rId11">
        <w:r>
          <w:rPr>
            <w:color w:val="0000EE"/>
            <w:u w:val="single"/>
          </w:rPr>
          <w:t>[6]</w:t>
        </w:r>
      </w:hyperlink>
      <w:hyperlink r:id="rId12">
        <w:r>
          <w:rPr>
            <w:color w:val="0000EE"/>
            <w:u w:val="single"/>
          </w:rPr>
          <w:t>[3]</w:t>
        </w:r>
      </w:hyperlink>
      <w:r/>
    </w:p>
    <w:p>
      <w:r/>
      <w:r>
        <w:t xml:space="preserve">Those tensions are reflected in corporate and investor sentiment. A Teneo survey and reporting by Axios show executives plan to raise AI spending in 2026 but differ with investors on timing for returns; investors expect quick pay‑offs while many CEOs see a longer horizon. At an Axios Live event, dealmakers noted record venture activity around AI in 2025, reinforcing the view that capital is flowing heavily into the sector even as questions persist about ultimate returns. That gap between investor impatience and executive timelines helps explain why momentum can sustain lofty valuations even while downside risk grows. </w:t>
      </w:r>
      <w:hyperlink r:id="rId13">
        <w:r>
          <w:rPr>
            <w:color w:val="0000EE"/>
            <w:u w:val="single"/>
          </w:rPr>
          <w:t>[5]</w:t>
        </w:r>
      </w:hyperlink>
      <w:hyperlink r:id="rId14">
        <w:r>
          <w:rPr>
            <w:color w:val="0000EE"/>
            <w:u w:val="single"/>
          </w:rPr>
          <w:t>[4]</w:t>
        </w:r>
      </w:hyperlink>
      <w:r/>
    </w:p>
    <w:p>
      <w:r/>
      <w:r>
        <w:t xml:space="preserve">The mechanics of where that risk concentrates are already visible. A handful of large technology firms have carried a disproportionate share of recent U.S. market performance, and market participants , including major asset managers , warn that crowding and leverage can exacerbate selloffs. BlackRock’s analysts have pointed to near‑record hedge fund leverage and cited episodes where AI‑related spending and positioning contributed to abrupt volatility, prompting them to rebalance into energy and infrastructure themes that benefit from data‑centre demand. These dynamics make rapid regime shifts a central planning assumption for traders. </w:t>
      </w:r>
      <w:hyperlink r:id="rId15">
        <w:r>
          <w:rPr>
            <w:color w:val="0000EE"/>
            <w:u w:val="single"/>
          </w:rPr>
          <w:t>[7]</w:t>
        </w:r>
      </w:hyperlink>
      <w:r/>
    </w:p>
    <w:p>
      <w:r/>
      <w:r>
        <w:t xml:space="preserve">For retail and funded traders, the technological arms race in execution does not erase the value of manual decision‑making. Massey emphasises that while algorithmic trading dominates institutional flow and ultra‑short timeframes, many consistently profitable retail traders operate on longer horizons where process, discipline and risk management provide the edge. The implication is that discretionary traders remain relevant because they cannot realistically match institutional latency, so success is increasingly about repeatable process rather than trying to out‑speed larger players. </w:t>
      </w:r>
      <w:hyperlink r:id="rId9">
        <w:r>
          <w:rPr>
            <w:color w:val="0000EE"/>
            <w:u w:val="single"/>
          </w:rPr>
          <w:t>[1]</w:t>
        </w:r>
      </w:hyperlink>
      <w:r/>
    </w:p>
    <w:p>
      <w:r/>
      <w:r>
        <w:t xml:space="preserve">Concentration risk also shows up in instrument choice. Massey notes that gold has recently accounted for an outsized share of volume for many traders, creating a behavioural tendency to force trades; he warns that “overconcentration breaks discipline long before it breaks performance.” At the same time, broker forecasts and macro commentary point to FX and equity indices as likely areas of pronounced opportunity and risk if policy shifts or geopolitical developments suddenly re‑rate assets. Diversification across a small basket of well‑understood markets, rather than indiscriminate breadth, is the practical risk control he advocates. </w:t>
      </w:r>
      <w:hyperlink r:id="rId9">
        <w:r>
          <w:rPr>
            <w:color w:val="0000EE"/>
            <w:u w:val="single"/>
          </w:rPr>
          <w:t>[1]</w:t>
        </w:r>
      </w:hyperlink>
      <w:hyperlink r:id="rId12">
        <w:r>
          <w:rPr>
            <w:color w:val="0000EE"/>
            <w:u w:val="single"/>
          </w:rPr>
          <w:t>[3]</w:t>
        </w:r>
      </w:hyperlink>
      <w:r/>
    </w:p>
    <w:p>
      <w:r/>
      <w:r>
        <w:t xml:space="preserve">Practical rules remain basic but unglamorous: position sizing that survives shocks, enforceable risk limits and the willingness to step aside when market conditions no longer match a trader’s playbook. Massey’s counsel , that traders should resist emotional attachment to a view because “markets rarely behave according to what ‘should’ happen” , echoes warnings from major financial institutions that volatility will likely remain elevated even as AI supports parts of the rally. Those firms stress that sustained corporate capex towards AI may underpin further gains but also create sharper drawdowns when sentiment reverses. </w:t>
      </w:r>
      <w:hyperlink r:id="rId9">
        <w:r>
          <w:rPr>
            <w:color w:val="0000EE"/>
            <w:u w:val="single"/>
          </w:rPr>
          <w:t>[1]</w:t>
        </w:r>
      </w:hyperlink>
      <w:hyperlink r:id="rId15">
        <w:r>
          <w:rPr>
            <w:color w:val="0000EE"/>
            <w:u w:val="single"/>
          </w:rPr>
          <w:t>[7]</w:t>
        </w:r>
      </w:hyperlink>
      <w:hyperlink r:id="rId10">
        <w:r>
          <w:rPr>
            <w:color w:val="0000EE"/>
            <w:u w:val="single"/>
          </w:rPr>
          <w:t>[2]</w:t>
        </w:r>
      </w:hyperlink>
      <w:r/>
    </w:p>
    <w:p>
      <w:r/>
      <w:r>
        <w:t xml:space="preserve">The funded trading industry itself is in a transition: rapid growth has been accompanied by uneven standards, and Massey argues trust will be a defining differentiator. He recommends straightforward due diligence for traders evaluating providers , visible ownership, published business address and support channels, transparent and stable terms, and consistent proof of payouts , and cautions against programmes that look unsustainably cheap. In a market where firms can attract attention through bold marketing, consistency and clear communication are likely to determine longevity. </w:t>
      </w:r>
      <w:hyperlink r:id="rId9">
        <w:r>
          <w:rPr>
            <w:color w:val="0000EE"/>
            <w:u w:val="single"/>
          </w:rPr>
          <w:t>[1]</w:t>
        </w:r>
      </w:hyperlink>
      <w:r/>
    </w:p>
    <w:p>
      <w:r/>
      <w:r>
        <w:t xml:space="preserve">For firms and traders alike, the message for 2026 is humility and preparation. Brokerages and banks expect AI to remain a central investment theme and to support corporate earnings, yet they also forecast heightened volatility and a realistic bear case that could see much lower index levels if momentum collapses. The practical takeaway is to plan for multiple regimes , including fast, liquidity‑drying reversals , and to prefer stable, repeatable processes over short‑term narrative conviction. </w:t>
      </w:r>
      <w:hyperlink r:id="rId10">
        <w:r>
          <w:rPr>
            <w:color w:val="0000EE"/>
            <w:u w:val="single"/>
          </w:rPr>
          <w:t>[2]</w:t>
        </w:r>
      </w:hyperlink>
      <w:hyperlink r:id="rId12">
        <w:r>
          <w:rPr>
            <w:color w:val="0000EE"/>
            <w:u w:val="single"/>
          </w:rPr>
          <w:t>[3]</w:t>
        </w:r>
      </w:hyperlink>
      <w:hyperlink r:id="rId11">
        <w:r>
          <w:rPr>
            <w:color w:val="0000EE"/>
            <w:u w:val="single"/>
          </w:rPr>
          <w:t>[6]</w:t>
        </w:r>
      </w:hyperlink>
      <w:hyperlink r:id="rId15">
        <w:r>
          <w:rPr>
            <w:color w:val="0000EE"/>
            <w:u w:val="single"/>
          </w:rPr>
          <w:t>[7]</w:t>
        </w:r>
      </w:hyperlink>
      <w:r/>
    </w:p>
    <w:p>
      <w:r/>
      <w:r>
        <w:t xml:space="preserve">Funded Trading Plus frames its own guidance around that same emphasis on fundamentals: discipline, market structure, risk management and avoiding behavioural traps. Massey points traders toward core skill development rather than chasing predictions, arguing that “trust is earned when the rules stay stable and the communication stays clear , especially when the market isn’t.” For traders tightening their fundamentals, the industry outlook for 2026 offers both clear opportunity and a reminder that surviving the next shock will be as important as profiting from the next trend.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(InvestingLive) - Paragraph 1, Paragraph 5, Paragraph 6, Paragraph 8, Paragraph 9, Paragraph 10</w:t>
      </w:r>
      <w:r/>
    </w:p>
    <w:p>
      <w:pPr>
        <w:pStyle w:val="ListBullet"/>
        <w:spacing w:line="240" w:lineRule="auto"/>
        <w:ind w:left="720"/>
      </w:pPr>
      <w:r/>
      <w:hyperlink r:id="rId10">
        <w:r>
          <w:rPr>
            <w:color w:val="0000EE"/>
            <w:u w:val="single"/>
          </w:rPr>
          <w:t>[2]</w:t>
        </w:r>
      </w:hyperlink>
      <w:r>
        <w:t xml:space="preserve"> (Reuters/Citi) - Paragraph 2, Paragraph 9</w:t>
      </w:r>
      <w:r/>
    </w:p>
    <w:p>
      <w:pPr>
        <w:pStyle w:val="ListBullet"/>
        <w:spacing w:line="240" w:lineRule="auto"/>
        <w:ind w:left="720"/>
      </w:pPr>
      <w:r/>
      <w:hyperlink r:id="rId12">
        <w:r>
          <w:rPr>
            <w:color w:val="0000EE"/>
            <w:u w:val="single"/>
          </w:rPr>
          <w:t>[3]</w:t>
        </w:r>
      </w:hyperlink>
      <w:r>
        <w:t xml:space="preserve"> (Reuters/brokerages) - Paragraph 2, Paragraph 6, Paragraph 9</w:t>
      </w:r>
      <w:r/>
    </w:p>
    <w:p>
      <w:pPr>
        <w:pStyle w:val="ListBullet"/>
        <w:spacing w:line="240" w:lineRule="auto"/>
        <w:ind w:left="720"/>
      </w:pPr>
      <w:r/>
      <w:hyperlink r:id="rId14">
        <w:r>
          <w:rPr>
            <w:color w:val="0000EE"/>
            <w:u w:val="single"/>
          </w:rPr>
          <w:t>[4]</w:t>
        </w:r>
      </w:hyperlink>
      <w:r>
        <w:t xml:space="preserve"> (Axios) - Paragraph 3</w:t>
      </w:r>
      <w:r/>
    </w:p>
    <w:p>
      <w:pPr>
        <w:pStyle w:val="ListBullet"/>
        <w:spacing w:line="240" w:lineRule="auto"/>
        <w:ind w:left="720"/>
      </w:pPr>
      <w:r/>
      <w:hyperlink r:id="rId13">
        <w:r>
          <w:rPr>
            <w:color w:val="0000EE"/>
            <w:u w:val="single"/>
          </w:rPr>
          <w:t>[5]</w:t>
        </w:r>
      </w:hyperlink>
      <w:r>
        <w:t xml:space="preserve"> (Axios/Teneo survey) - Paragraph 3</w:t>
      </w:r>
      <w:r/>
    </w:p>
    <w:p>
      <w:pPr>
        <w:pStyle w:val="ListBullet"/>
        <w:spacing w:line="240" w:lineRule="auto"/>
        <w:ind w:left="720"/>
      </w:pPr>
      <w:r/>
      <w:hyperlink r:id="rId11">
        <w:r>
          <w:rPr>
            <w:color w:val="0000EE"/>
            <w:u w:val="single"/>
          </w:rPr>
          <w:t>[6]</w:t>
        </w:r>
      </w:hyperlink>
      <w:r>
        <w:t xml:space="preserve"> (Reuters/UBS) - Paragraph 2, Paragraph 9</w:t>
      </w:r>
      <w:r/>
    </w:p>
    <w:p>
      <w:pPr>
        <w:pStyle w:val="ListBullet"/>
        <w:spacing w:line="240" w:lineRule="auto"/>
        <w:ind w:left="720"/>
      </w:pPr>
      <w:r/>
      <w:hyperlink r:id="rId15">
        <w:r>
          <w:rPr>
            <w:color w:val="0000EE"/>
            <w:u w:val="single"/>
          </w:rPr>
          <w:t>[7]</w:t>
        </w:r>
      </w:hyperlink>
      <w:r>
        <w:t xml:space="preserve"> (Reuters/BlackRock) - Paragraph 4, Paragraph 7,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https://investinglive.com/Education/navigating-2026-volatility-trust-and-the-new-reality-for-traders-20251219/</w:t>
        </w:r>
      </w:hyperlink>
      <w:r>
        <w:t xml:space="preserve"> - Please view link - unable to able to access data</w:t>
      </w:r>
      <w:r/>
    </w:p>
    <w:p>
      <w:pPr>
        <w:pStyle w:val="ListNumber"/>
        <w:spacing w:line="240" w:lineRule="auto"/>
        <w:ind w:left="720"/>
      </w:pPr>
      <w:r/>
      <w:hyperlink r:id="rId10">
        <w:r>
          <w:rPr>
            <w:color w:val="0000EE"/>
            <w:u w:val="single"/>
          </w:rPr>
          <w:t>https://www.reuters.com/business/citi-sets-2026-sp-500-target-7700-expects-ai-remain-key-theme-2025-12-15/</w:t>
        </w:r>
      </w:hyperlink>
      <w:r>
        <w:t xml:space="preserve"> - Citigroup has set a 2026 year-end target of 7,700 for the S&amp;P 500 index, projecting a 12.7% gain from its last close of 6,827.41. This forecast is driven by expectations of strong corporate earnings and continued momentum from artificial intelligence (AI) investments. Citi estimates S&amp;P 500 earnings per share to reach $320 next year, higher than the consensus estimate of $310. It anticipates a shift in AI investment focus from infrastructure enablers to companies adopting the technology, highlighting a potential 'winner versus loser' dynamic. While acknowledging high valuations pose challenges, Citi believes fundamentals can support further gains. The firm expects heightened volatility as the bull market enters its fourth year due to projected growth expectations. It forecasts a bull-case scenario of 8,300 for the S&amp;P 500 and a bear-case low of 5,700. Citi's projection aligns with UBS's 7,700 target and is more conservative than Oppenheimer's top-end forecast of 8,100.</w:t>
      </w:r>
      <w:r/>
    </w:p>
    <w:p>
      <w:pPr>
        <w:pStyle w:val="ListNumber"/>
        <w:spacing w:line="240" w:lineRule="auto"/>
        <w:ind w:left="720"/>
      </w:pPr>
      <w:r/>
      <w:hyperlink r:id="rId12">
        <w:r>
          <w:rPr>
            <w:color w:val="0000EE"/>
            <w:u w:val="single"/>
          </w:rPr>
          <w:t>https://www.reuters.com/business/finance/trend-mainstay-ai-cement-its-place-core-2026-investment-strategies-2025-12-16/</w:t>
        </w:r>
      </w:hyperlink>
      <w:r>
        <w:t xml:space="preserve"> - In its 2026 investment outlook, global brokerages project that artificial intelligence (AI) will solidify its role as a key component in portfolio strategies. Despite concerns that the AI-driven market rally may lose steam, analysts remain optimistic, citing ongoing economic expansion and support from U.S. Federal Reserve monetary easing. The S&amp;P 500 index is expected to rise by nearly 12% to around 7,490 in 2026, marking a fourth consecutive year of gains if 2025 ends positively. Forecasts suggest global GDP growth will fall between 2.4% and 3.3%, signaling economic resilience. However, risks such as inflation surprises, high valuations, and emerging trade tensions could trigger market corrections. Brokerages like Barclays, UBS, and Wells Fargo emphasize continued strength in the U.S. economy, reinforced by AI-driven productivity and bullish investor sentiment.</w:t>
      </w:r>
      <w:r/>
    </w:p>
    <w:p>
      <w:pPr>
        <w:pStyle w:val="ListNumber"/>
        <w:spacing w:line="240" w:lineRule="auto"/>
        <w:ind w:left="720"/>
      </w:pPr>
      <w:r/>
      <w:hyperlink r:id="rId14">
        <w:r>
          <w:rPr>
            <w:color w:val="0000EE"/>
            <w:u w:val="single"/>
          </w:rPr>
          <w:t>https://www.axios.com/2025/12/05/watch-axios-event-dealmakers-2026-outlook</w:t>
        </w:r>
      </w:hyperlink>
      <w:r>
        <w:t xml:space="preserve"> - At a recent virtual Axios Live event, experts emphasized that artificial intelligence (AI) is driving a significant surge in capital investment within the tech sector, amid ongoing discussions about potential economic uncertainty and an AI market bubble. During the event, it was revealed that nearly $80 billion in venture growth was deployed in the first half of 2025, potentially totaling $160 billion, surpassing the 2021 peak. Experts highlighted concerns about whether AI can generate enough value to justify the current and projected multi-trillion-dollar investments. Despite these concerns, optimism remains high. Predictions for 2026 suggest a shift in AI-related investments, focusing on scaling previously laid foundations. In a sponsored segment, Cooley partner Ben Beerle expressed confidence in sustained high deal activity continuing into 2026, signaling a strong outlook for AI-driven dealmaking.</w:t>
      </w:r>
      <w:r/>
    </w:p>
    <w:p>
      <w:pPr>
        <w:pStyle w:val="ListNumber"/>
        <w:spacing w:line="240" w:lineRule="auto"/>
        <w:ind w:left="720"/>
      </w:pPr>
      <w:r/>
      <w:hyperlink r:id="rId13">
        <w:r>
          <w:rPr>
            <w:color w:val="0000EE"/>
            <w:u w:val="single"/>
          </w:rPr>
          <w:t>https://www.axios.com/2025/12/16/google-facebook-meta-ai-wall-street</w:t>
        </w:r>
      </w:hyperlink>
      <w:r>
        <w:t xml:space="preserve"> - A recent Teneo survey of over 350 global public company CEOs and 400 institutional investors reveals a growing divide between executive leadership and Wall Street over expectations for returns on artificial intelligence (AI) investments. While AI spending is set to increase in 2026—with 68% of CEOs planning to boost investments—there is a stark contrast in expectations for returns. Over half (53%) of investors anticipate noticeable returns within six months, but only 16% of large-cap CEOs believe they can deliver results in that timeframe. This disparity underscores investors' growing impatience and heightened scrutiny of earnings and capital expenditures related to AI. However, defining what constitutes a 'return' on AI remains a challenge, complicating consensus. The difference in outlooks highlights a tension between quick financial gains and longer-term strategic development in AI deployment.</w:t>
      </w:r>
      <w:r/>
    </w:p>
    <w:p>
      <w:pPr>
        <w:pStyle w:val="ListNumber"/>
        <w:spacing w:line="240" w:lineRule="auto"/>
        <w:ind w:left="720"/>
      </w:pPr>
      <w:r/>
      <w:hyperlink r:id="rId11">
        <w:r>
          <w:rPr>
            <w:color w:val="0000EE"/>
            <w:u w:val="single"/>
          </w:rPr>
          <w:t>https://www.reuters.com/business/finance/ubs-sets-sp-500s-2026-year-end-target-7500-ai-driven-rally-2025-11-10/</w:t>
        </w:r>
      </w:hyperlink>
      <w:r>
        <w:t xml:space="preserve"> - UBS Global Research projects the S&amp;P 500 to reach 7,500 by the end of 2026, driven by continued momentum in artificial intelligence and strong corporate earnings, particularly in the resilient technology sector. The index is already approaching 7,000, closing at 6,728.80 recently, amid investor optimism over AI, robust profits, and potential interest rate cuts. Major contributors to the rally include tech giants like Nvidia, Microsoft, and Alphabet, with AI-driven capital expenditures at record highs. UBS forecasts 14.4% earnings growth through 2026, expecting acceleration from Q2 onward, despite ongoing bubble concerns around AI stock valuations. On the global front, UBS anticipates an economic pickup in 2026-2027, spurred by enhanced business and consumer confidence and new fiscal stimulus across major economies. However, near-term challenges include a soft patch caused by tariffs impacting prices and global exports. Among emerging markets, the firm favors Chinese equities and the yuan, citing improving confidence and credit growth.</w:t>
      </w:r>
      <w:r/>
    </w:p>
    <w:p>
      <w:pPr>
        <w:pStyle w:val="ListNumber"/>
        <w:spacing w:line="240" w:lineRule="auto"/>
        <w:ind w:left="720"/>
      </w:pPr>
      <w:r/>
      <w:hyperlink r:id="rId15">
        <w:r>
          <w:rPr>
            <w:color w:val="0000EE"/>
            <w:u w:val="single"/>
          </w:rPr>
          <w:t>https://www.reuters.com/business/blackrock-expects-ai-continue-dominating-markets-2026-despite-risks-2025-12-04/</w:t>
        </w:r>
      </w:hyperlink>
      <w:r>
        <w:t xml:space="preserve"> - BlackRock, the world’s largest asset manager, forecasts that artificial intelligence (AI) will continue to dominate financial markets in 2026, despite heightened volatility and risks related to speculative trading and leverage. Helen Jewell, BlackRock's CIO of fundamental equities for EMEA, stated that AI-related investments are expected to maintain an upward trajectory, supported by significant capital expenditure from cash-rich companies. However, she cautioned that market turbulence is likely due to crowding and leverage, which could trigger sharp selloffs, as observed during a major U.S. market pullback in November caused by concerns over AI companies overspending on data centers. Jewell highlighted that hedge funds are operating with near-record leverage levels, increasing the potential for rapid market downturns if they are forced to offload assets. In response to these dynamics, BlackRock is increasing investments in European energy and infrastructure, including firms like Siemens Energy, which stand to benefit from rising demand tied to AI and new data center construction. On defense stocks, Jewell shared a tempered outlook, noting reduced optimism compared to earlier in the year. European aerospace and defense shares declined 8% in November amid speculation about potential peace in the Ukraine-Russia conflict.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vestinglive.com/Education/navigating-2026-volatility-trust-and-the-new-reality-for-traders-20251219/" TargetMode="External"/><Relationship Id="rId10" Type="http://schemas.openxmlformats.org/officeDocument/2006/relationships/hyperlink" Target="https://www.reuters.com/business/citi-sets-2026-sp-500-target-7700-expects-ai-remain-key-theme-2025-12-15/" TargetMode="External"/><Relationship Id="rId11" Type="http://schemas.openxmlformats.org/officeDocument/2006/relationships/hyperlink" Target="https://www.reuters.com/business/finance/ubs-sets-sp-500s-2026-year-end-target-7500-ai-driven-rally-2025-11-10/" TargetMode="External"/><Relationship Id="rId12" Type="http://schemas.openxmlformats.org/officeDocument/2006/relationships/hyperlink" Target="https://www.reuters.com/business/finance/trend-mainstay-ai-cement-its-place-core-2026-investment-strategies-2025-12-16/" TargetMode="External"/><Relationship Id="rId13" Type="http://schemas.openxmlformats.org/officeDocument/2006/relationships/hyperlink" Target="https://www.axios.com/2025/12/16/google-facebook-meta-ai-wall-street" TargetMode="External"/><Relationship Id="rId14" Type="http://schemas.openxmlformats.org/officeDocument/2006/relationships/hyperlink" Target="https://www.axios.com/2025/12/05/watch-axios-event-dealmakers-2026-outlook" TargetMode="External"/><Relationship Id="rId15" Type="http://schemas.openxmlformats.org/officeDocument/2006/relationships/hyperlink" Target="https://www.reuters.com/business/blackrock-expects-ai-continue-dominating-markets-2026-despite-risks-2025-12-0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