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accelerates underwriting turnaround, reshaping insurance profitability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Underwriting has moved from a back‑office function to a strategic business lever: speed now determines conversion, throughput and time‑to‑revenue. According to the Markovate analysis, standard underwriting decisions that once took three to five days can, with AI, be reduced to minutes, shrinking decision time to as little as 12.4 minutes and preserving rigorous risk assessment. </w:t>
      </w:r>
      <w:hyperlink r:id="rId9">
        <w:r>
          <w:rPr>
            <w:color w:val="0000EE"/>
            <w:u w:val="single"/>
          </w:rPr>
          <w:t>[1]</w:t>
        </w:r>
      </w:hyperlink>
      <w:r/>
    </w:p>
    <w:p>
      <w:r/>
      <w:r>
        <w:t xml:space="preserve">Slow underwriting imposes hidden costs that extend beyond line items on a ledger. Markovate outlines revenue leakage from application abandonment, higher cost per policy from manual rework, constrained throughput at peak demand, and underwriters tied up in low‑value data tasks; together these frictions delay cash flow and strain downstream teams. Industry commentary adds that underwriters typically spend a large share of time on administration, reinforcing the structural nature of the problem. </w:t>
      </w:r>
      <w:hyperlink r:id="rId9">
        <w:r>
          <w:rPr>
            <w:color w:val="0000EE"/>
            <w:u w:val="single"/>
          </w:rPr>
          <w:t>[1]</w:t>
        </w:r>
      </w:hyperlink>
      <w:hyperlink r:id="rId10">
        <w:r>
          <w:rPr>
            <w:color w:val="0000EE"/>
            <w:u w:val="single"/>
          </w:rPr>
          <w:t>[6]</w:t>
        </w:r>
      </w:hyperlink>
      <w:r/>
    </w:p>
    <w:p>
      <w:r/>
      <w:r>
        <w:t xml:space="preserve">The causes are familiar: fragmented systems, manual data handling and human intervention at every stage. Markovate notes that legacy workflows were designed for lower volumes and simpler data environments, and so they struggle as applications, data sources and customer expectations scale. Industry pieces corroborate that AI addresses these structural limits by automating ingestion, document processing and routine decisioning. </w:t>
      </w:r>
      <w:hyperlink r:id="rId9">
        <w:r>
          <w:rPr>
            <w:color w:val="0000EE"/>
            <w:u w:val="single"/>
          </w:rPr>
          <w:t>[1]</w:t>
        </w:r>
      </w:hyperlink>
      <w:hyperlink r:id="rId11">
        <w:r>
          <w:rPr>
            <w:color w:val="0000EE"/>
            <w:u w:val="single"/>
          </w:rPr>
          <w:t>[3]</w:t>
        </w:r>
      </w:hyperlink>
      <w:hyperlink r:id="rId12">
        <w:r>
          <w:rPr>
            <w:color w:val="0000EE"/>
            <w:u w:val="single"/>
          </w:rPr>
          <w:t>[4]</w:t>
        </w:r>
      </w:hyperlink>
      <w:r/>
    </w:p>
    <w:p>
      <w:r/>
      <w:r>
        <w:t xml:space="preserve">AI’s practical role in underwriting is to accelerate the pipeline while preserving human oversight. Markovate emphasises data integration, predictive risk scoring, natural language processing and prioritisation capabilities that surface exceptions for underwriter review rather than replacing judgment. Other analyses add that when applied to the right tasks, AI can achieve straight‑through processing for low‑risk profiles and route complex cases to experts. </w:t>
      </w:r>
      <w:hyperlink r:id="rId9">
        <w:r>
          <w:rPr>
            <w:color w:val="0000EE"/>
            <w:u w:val="single"/>
          </w:rPr>
          <w:t>[1]</w:t>
        </w:r>
      </w:hyperlink>
      <w:hyperlink r:id="rId11">
        <w:r>
          <w:rPr>
            <w:color w:val="0000EE"/>
            <w:u w:val="single"/>
          </w:rPr>
          <w:t>[3]</w:t>
        </w:r>
      </w:hyperlink>
      <w:hyperlink r:id="rId13">
        <w:r>
          <w:rPr>
            <w:color w:val="0000EE"/>
            <w:u w:val="single"/>
          </w:rPr>
          <w:t>[2]</w:t>
        </w:r>
      </w:hyperlink>
      <w:r/>
    </w:p>
    <w:p>
      <w:r/>
      <w:r>
        <w:t xml:space="preserve">Measured performance gains cited across the field are substantial. An industry summary reports standard policy decisions falling to around 12.4 minutes with AI and complex-case processing times improving materially; another study cited by Accenture estimates processing can be up to 80% faster. Vendor and insurer examples show turnaround reductions from days to minutes or hours, enabling brokers and distribution partners to close business faster and improving quote responsiveness. </w:t>
      </w:r>
      <w:hyperlink r:id="rId11">
        <w:r>
          <w:rPr>
            <w:color w:val="0000EE"/>
            <w:u w:val="single"/>
          </w:rPr>
          <w:t>[3]</w:t>
        </w:r>
      </w:hyperlink>
      <w:hyperlink r:id="rId12">
        <w:r>
          <w:rPr>
            <w:color w:val="0000EE"/>
            <w:u w:val="single"/>
          </w:rPr>
          <w:t>[4]</w:t>
        </w:r>
      </w:hyperlink>
      <w:hyperlink r:id="rId14">
        <w:r>
          <w:rPr>
            <w:color w:val="0000EE"/>
            <w:u w:val="single"/>
          </w:rPr>
          <w:t>[5]</w:t>
        </w:r>
      </w:hyperlink>
      <w:r/>
    </w:p>
    <w:p>
      <w:r/>
      <w:r>
        <w:t xml:space="preserve">Those speed gains translate into concrete business outcomes when systems are evaluated and operationalised correctly. Markovate argues that model performance in production, continuous evaluation and transparent reporting are prerequisites for durable gains. According to the company, its AI Investor Reporting System and Generative AI Pipeline Evaluation are designed to provide unified visibility, real‑time oversight and continuous model validation so that faster decisioning does not erode accountability. </w:t>
      </w:r>
      <w:hyperlink r:id="rId9">
        <w:r>
          <w:rPr>
            <w:color w:val="0000EE"/>
            <w:u w:val="single"/>
          </w:rPr>
          <w:t>[1]</w:t>
        </w:r>
      </w:hyperlink>
      <w:r/>
    </w:p>
    <w:p>
      <w:r/>
      <w:r>
        <w:t xml:space="preserve">Independent reporting and insurer case studies underline the commercial upside: reduced quote turnaround, higher throughput with the same headcount and improved pricing precision. A market analysis suggests AI can process submissions up to 90% faster and enable underwriters to handle multiple times the previous volume, while other reports quantify measurable improvements in productivity and loss‑ratio outcomes when pricing leakage and manual error are reduced. </w:t>
      </w:r>
      <w:hyperlink r:id="rId13">
        <w:r>
          <w:rPr>
            <w:color w:val="0000EE"/>
            <w:u w:val="single"/>
          </w:rPr>
          <w:t>[2]</w:t>
        </w:r>
      </w:hyperlink>
      <w:hyperlink r:id="rId14">
        <w:r>
          <w:rPr>
            <w:color w:val="0000EE"/>
            <w:u w:val="single"/>
          </w:rPr>
          <w:t>[5]</w:t>
        </w:r>
      </w:hyperlink>
      <w:r/>
    </w:p>
    <w:p>
      <w:r/>
      <w:r>
        <w:t xml:space="preserve">Risks and caveats remain. Industry sources stress that poorly evaluated or misapplied models can introduce new delays or inconsistencies, so explainability, human‑in‑the‑loop controls and robust monitoring are essential. Markovate and other commentators recommend focusing AI on repeatable, high‑volume tasks first, measuring cycle‑time, cost‑per‑decision and accuracy improvements, then scaling to more complex use cases as governance matures. </w:t>
      </w:r>
      <w:hyperlink r:id="rId9">
        <w:r>
          <w:rPr>
            <w:color w:val="0000EE"/>
            <w:u w:val="single"/>
          </w:rPr>
          <w:t>[1]</w:t>
        </w:r>
      </w:hyperlink>
      <w:hyperlink r:id="rId11">
        <w:r>
          <w:rPr>
            <w:color w:val="0000EE"/>
            <w:u w:val="single"/>
          </w:rPr>
          <w:t>[3]</w:t>
        </w:r>
      </w:hyperlink>
      <w:hyperlink r:id="rId10">
        <w:r>
          <w:rPr>
            <w:color w:val="0000EE"/>
            <w:u w:val="single"/>
          </w:rPr>
          <w:t>[6]</w:t>
        </w:r>
      </w:hyperlink>
      <w:r/>
    </w:p>
    <w:p>
      <w:r/>
      <w:r>
        <w:t xml:space="preserve">For insurers and lenders constrained by underwriting speed, the pathway is pragmatic: map the workflow bottlenecks, pilot AI for data ingestion and routine scoring, and invest in production‑grade validation and reporting so speed becomes a sustained advantage rather than a temporary gain. Industry leaders that have combined machine learning with disciplined operational design report shorter cycle times, higher productivity and improved risk selection, evidence that faster underwriting can be converted into measurable business impact when implementation is done with intent. </w:t>
      </w:r>
      <w:hyperlink r:id="rId9">
        <w:r>
          <w:rPr>
            <w:color w:val="0000EE"/>
            <w:u w:val="single"/>
          </w:rPr>
          <w:t>[1]</w:t>
        </w:r>
      </w:hyperlink>
      <w:hyperlink r:id="rId14">
        <w:r>
          <w:rPr>
            <w:color w:val="0000EE"/>
            <w:u w:val="single"/>
          </w:rPr>
          <w:t>[5]</w:t>
        </w:r>
      </w:hyperlink>
      <w:hyperlink r:id="rId11">
        <w:r>
          <w:rPr>
            <w:color w:val="0000EE"/>
            <w:u w:val="single"/>
          </w:rPr>
          <w:t>[3]</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(Markovate) - Paragraph 1, Paragraph 2, Paragraph 3, Paragraph 4, Paragraph 6, Paragraph 8, Paragraph 9</w:t>
      </w:r>
      <w:r/>
    </w:p>
    <w:p>
      <w:pPr>
        <w:pStyle w:val="ListBullet"/>
        <w:spacing w:line="240" w:lineRule="auto"/>
        <w:ind w:left="720"/>
      </w:pPr>
      <w:r/>
      <w:hyperlink r:id="rId11">
        <w:r>
          <w:rPr>
            <w:color w:val="0000EE"/>
            <w:u w:val="single"/>
          </w:rPr>
          <w:t>[3]</w:t>
        </w:r>
      </w:hyperlink>
      <w:r>
        <w:t xml:space="preserve"> (Agentech) - Paragraph 1, Paragraph 4, Paragraph 5, Paragraph 6, Paragraph 8, Paragraph 9</w:t>
      </w:r>
      <w:r/>
    </w:p>
    <w:p>
      <w:pPr>
        <w:pStyle w:val="ListBullet"/>
        <w:spacing w:line="240" w:lineRule="auto"/>
        <w:ind w:left="720"/>
      </w:pPr>
      <w:r/>
      <w:hyperlink r:id="rId13">
        <w:r>
          <w:rPr>
            <w:color w:val="0000EE"/>
            <w:u w:val="single"/>
          </w:rPr>
          <w:t>[2]</w:t>
        </w:r>
      </w:hyperlink>
      <w:r>
        <w:t xml:space="preserve"> (Inaza) - Paragraph 5, Paragraph 7</w:t>
      </w:r>
      <w:r/>
    </w:p>
    <w:p>
      <w:pPr>
        <w:pStyle w:val="ListBullet"/>
        <w:spacing w:line="240" w:lineRule="auto"/>
        <w:ind w:left="720"/>
      </w:pPr>
      <w:r/>
      <w:hyperlink r:id="rId12">
        <w:r>
          <w:rPr>
            <w:color w:val="0000EE"/>
            <w:u w:val="single"/>
          </w:rPr>
          <w:t>[4]</w:t>
        </w:r>
      </w:hyperlink>
      <w:r>
        <w:t xml:space="preserve"> (Attri.ai) - Paragraph 5</w:t>
      </w:r>
      <w:r/>
    </w:p>
    <w:p>
      <w:pPr>
        <w:pStyle w:val="ListBullet"/>
        <w:spacing w:line="240" w:lineRule="auto"/>
        <w:ind w:left="720"/>
      </w:pPr>
      <w:r/>
      <w:hyperlink r:id="rId14">
        <w:r>
          <w:rPr>
            <w:color w:val="0000EE"/>
            <w:u w:val="single"/>
          </w:rPr>
          <w:t>[5]</w:t>
        </w:r>
      </w:hyperlink>
      <w:r>
        <w:t xml:space="preserve"> (Forbes) - Paragraph 5, Paragraph 7, Paragraph 9</w:t>
      </w:r>
      <w:r/>
    </w:p>
    <w:p>
      <w:pPr>
        <w:pStyle w:val="ListBullet"/>
        <w:spacing w:line="240" w:lineRule="auto"/>
        <w:ind w:left="720"/>
      </w:pPr>
      <w:r/>
      <w:hyperlink r:id="rId10">
        <w:r>
          <w:rPr>
            <w:color w:val="0000EE"/>
            <w:u w:val="single"/>
          </w:rPr>
          <w:t>[6]</w:t>
        </w:r>
      </w:hyperlink>
      <w:r>
        <w:t xml:space="preserve"> (Sprout.ai) - Paragraph 2, Paragraph 8</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https://markovate.com/ai-in-underwriting/</w:t>
        </w:r>
      </w:hyperlink>
      <w:r>
        <w:t xml:space="preserve"> - Please view link - unable to able to access data</w:t>
      </w:r>
      <w:r/>
    </w:p>
    <w:p>
      <w:pPr>
        <w:pStyle w:val="ListNumber"/>
        <w:spacing w:line="240" w:lineRule="auto"/>
        <w:ind w:left="720"/>
      </w:pPr>
      <w:r/>
      <w:hyperlink r:id="rId13">
        <w:r>
          <w:rPr>
            <w:color w:val="0000EE"/>
            <w:u w:val="single"/>
          </w:rPr>
          <w:t>https://www.inaza.com/blog/faster-to-quote-how-underwriting-leaders-are-using-ai-to-win-more-business</w:t>
        </w:r>
      </w:hyperlink>
      <w:r>
        <w:t xml:space="preserve"> - This article discusses how AI is revolutionising underwriting by automating manual tasks, leading to significant efficiency gains. It highlights that AI can process submissions 90% faster, allowing underwriters to handle five times more submissions with the same staff. Additionally, AI reduces quote turnaround times by up to 87%, providing brokers with answers in hours instead of days. The piece also notes that AI helps improve loss ratios by over five points by eliminating pricing errors and premium leakage.</w:t>
      </w:r>
      <w:r/>
    </w:p>
    <w:p>
      <w:pPr>
        <w:pStyle w:val="ListNumber"/>
        <w:spacing w:line="240" w:lineRule="auto"/>
        <w:ind w:left="720"/>
      </w:pPr>
      <w:r/>
      <w:hyperlink r:id="rId11">
        <w:r>
          <w:rPr>
            <w:color w:val="0000EE"/>
            <w:u w:val="single"/>
          </w:rPr>
          <w:t>https://www.agentech.com/resources/articles/ai-underwriting</w:t>
        </w:r>
      </w:hyperlink>
      <w:r>
        <w:t xml:space="preserve"> - The article explores the tangible benefits of AI in insurance underwriting, focusing on improved efficiency and accuracy. It reports that underwriting decisions, which traditionally took three to five days, are now completed in just 12.4 minutes for standard policies with AI underwriting. For complex policies, AI has reduced processing times by 31%. The technology maintains a 99.3% accuracy rate in risk assessment for standard policies and improves risk assessment accuracy by 43% for more complicated cases.</w:t>
      </w:r>
      <w:r/>
    </w:p>
    <w:p>
      <w:pPr>
        <w:pStyle w:val="ListNumber"/>
        <w:spacing w:line="240" w:lineRule="auto"/>
        <w:ind w:left="720"/>
      </w:pPr>
      <w:r/>
      <w:hyperlink r:id="rId12">
        <w:r>
          <w:rPr>
            <w:color w:val="0000EE"/>
            <w:u w:val="single"/>
          </w:rPr>
          <w:t>https://blog.attri.ai/blog/the-impact-of-ai-on-insurance-underwriting</w:t>
        </w:r>
      </w:hyperlink>
      <w:r>
        <w:t xml:space="preserve"> - This blog post examines the impact of AI on insurance underwriting, emphasising speed, accuracy, and cost efficiency. It cites a study by Accenture, stating that AI-powered underwriting can be up to 80% faster than traditional methods. The article also highlights that AI systems can analyse multiple data sources simultaneously, generating decisions in minutes or even seconds. Additionally, it mentions that AI can reduce underwriting costs by up to $500 million annually by automating tasks like document processing and data entry.</w:t>
      </w:r>
      <w:r/>
    </w:p>
    <w:p>
      <w:pPr>
        <w:pStyle w:val="ListNumber"/>
        <w:spacing w:line="240" w:lineRule="auto"/>
        <w:ind w:left="720"/>
      </w:pPr>
      <w:r/>
      <w:hyperlink r:id="rId14">
        <w:r>
          <w:rPr>
            <w:color w:val="0000EE"/>
            <w:u w:val="single"/>
          </w:rPr>
          <w:t>https://www.forbes.com/sites/davidparker/2025/12/03/underwritings-renaissance-can-ai-transform-insurances-foundation</w:t>
        </w:r>
      </w:hyperlink>
      <w:r>
        <w:t xml:space="preserve"> - This Forbes article discusses the transformative potential of AI in insurance underwriting. It highlights that AI-powered data ingestion can process submissions at scale, identifying trends and unmet market needs, leading to improved risk selection, pricing, and product innovation. The piece also mentions that specialty insurer Hiscox collaborated with Google to deploy machine learning and AI, reducing submission processing time from three days to three minutes and improving productivity by 40%. The use of this AI framework is being expanded to other business lines and markets.</w:t>
      </w:r>
      <w:r/>
    </w:p>
    <w:p>
      <w:pPr>
        <w:pStyle w:val="ListNumber"/>
        <w:spacing w:line="240" w:lineRule="auto"/>
        <w:ind w:left="720"/>
      </w:pPr>
      <w:r/>
      <w:hyperlink r:id="rId10">
        <w:r>
          <w:rPr>
            <w:color w:val="0000EE"/>
            <w:u w:val="single"/>
          </w:rPr>
          <w:t>https://sprout.ai/blog/how-can-ai-enhance-underwriting</w:t>
        </w:r>
      </w:hyperlink>
      <w:r>
        <w:t xml:space="preserve"> - The article outlines eight ways AI can improve underwriting, focusing on efficiency, decision-making, accuracy, fraud detection, and handling repetitive tasks. It notes that underwriters often spend 40% of their time on administrative tasks, and AI can automate these processes, reducing human error and allowing underwriters to focus on analysis and decision-making. AI-driven analytics provide data-backed insights, applying predefined business logic consistently across applications, ensuring informed and uniform decisions based on comprehensive analyses of risk.</w:t>
      </w:r>
      <w:r/>
    </w:p>
    <w:p>
      <w:pPr>
        <w:pStyle w:val="ListNumber"/>
        <w:spacing w:line="240" w:lineRule="auto"/>
        <w:ind w:left="720"/>
      </w:pPr>
      <w:r/>
      <w:hyperlink r:id="rId16">
        <w:r>
          <w:rPr>
            <w:color w:val="0000EE"/>
            <w:u w:val="single"/>
          </w:rPr>
          <w:t>https://www.housingwire.com/articles/how-ai-is-already-transforming-and-improving-the-mortgage-underwriting-process</w:t>
        </w:r>
      </w:hyperlink>
      <w:r>
        <w:t xml:space="preserve"> - This article discusses how AI is transforming the mortgage underwriting process by reducing processing times and improving decision quality. It mentions that AI-based underwriting can dramatically reduce application processing times from the industry’s current average of 30 to 45 days to just eight minutes. The piece also highlights that AI algorithms avoid human errors made by loan processors, title agents, and appraisers, resulting in more accurate and higher-quality approval decisions. Additionally, AI operates 24/7, leading to a more efficient and routinised process.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arkovate.com/ai-in-underwriting/" TargetMode="External"/><Relationship Id="rId10" Type="http://schemas.openxmlformats.org/officeDocument/2006/relationships/hyperlink" Target="https://sprout.ai/blog/how-can-ai-enhance-underwriting" TargetMode="External"/><Relationship Id="rId11" Type="http://schemas.openxmlformats.org/officeDocument/2006/relationships/hyperlink" Target="https://www.agentech.com/resources/articles/ai-underwriting" TargetMode="External"/><Relationship Id="rId12" Type="http://schemas.openxmlformats.org/officeDocument/2006/relationships/hyperlink" Target="https://blog.attri.ai/blog/the-impact-of-ai-on-insurance-underwriting" TargetMode="External"/><Relationship Id="rId13" Type="http://schemas.openxmlformats.org/officeDocument/2006/relationships/hyperlink" Target="https://www.inaza.com/blog/faster-to-quote-how-underwriting-leaders-are-using-ai-to-win-more-business" TargetMode="External"/><Relationship Id="rId14" Type="http://schemas.openxmlformats.org/officeDocument/2006/relationships/hyperlink" Target="https://www.forbes.com/sites/davidparker/2025/12/03/underwritings-renaissance-can-ai-transform-insurances-foundation" TargetMode="External"/><Relationship Id="rId15" Type="http://schemas.openxmlformats.org/officeDocument/2006/relationships/hyperlink" Target="https://www.noahwire.com" TargetMode="External"/><Relationship Id="rId16" Type="http://schemas.openxmlformats.org/officeDocument/2006/relationships/hyperlink" Target="https://www.housingwire.com/articles/how-ai-is-already-transforming-and-improving-the-mortgage-underwriting-proce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