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Mitigating AI hallucinations by updating and managing legacy content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AI systems are increasingly treating company blogs as durable sources of truth,and when those archives contain outdated facts they can seed confident but incorrect answers that damage reputation and frustrate users. According to the report by Single Grain,this happens because large language models and retrieval-driven search treat older posts as equally authoritative unless publishers signal recency and versioning explicitly.</w:t>
      </w:r>
      <w:hyperlink r:id="rId9">
        <w:r>
          <w:rPr>
            <w:color w:val="0000EE"/>
            <w:u w:val="single"/>
          </w:rPr>
          <w:t>[1]</w:t>
        </w:r>
      </w:hyperlink>
      <w:r/>
    </w:p>
    <w:p>
      <w:r/>
      <w:r>
        <w:t>Under the hood, language models generate text by predicting the most likely next token from patterns in their training and retrieval data,rather than by consulting a single live source of truth. Single Grain explains that when training data or search indexes include stale pages , for example, old pricing, deprecated features, or obsolete how-tos , generative engines will reproduce those patterns as if they were current,creating “hybrid” answers that sound plausible but may be false.</w:t>
      </w:r>
      <w:hyperlink r:id="rId9">
        <w:r>
          <w:rPr>
            <w:color w:val="0000EE"/>
            <w:u w:val="single"/>
          </w:rPr>
          <w:t>[1]</w:t>
        </w:r>
      </w:hyperlink>
      <w:r/>
    </w:p>
    <w:p>
      <w:r/>
      <w:r>
        <w:t>The practical consequences are growing as more people rely on AI for answers; Single Grain cites widespread adoption of AI tools in 2025 as a vector that can amplify the reach of any single hallucination.</w:t>
      </w:r>
      <w:hyperlink r:id="rId9">
        <w:r>
          <w:rPr>
            <w:color w:val="0000EE"/>
            <w:u w:val="single"/>
          </w:rPr>
          <w:t>[1]</w:t>
        </w:r>
      </w:hyperlink>
      <w:r>
        <w:t xml:space="preserve"> Industry guidance across other sources converges on the same point: hallucinations arise from poor grounding,limited or low-quality data, and ambiguous prompts,so reducing them requires both cleaner inputs and stronger system-level guardrails. Articles summarising best practice emphasise fact-checking, human oversight, and improved training or domain-specific tooling as core mitigations.</w:t>
      </w:r>
      <w:hyperlink r:id="rId10">
        <w:r>
          <w:rPr>
            <w:color w:val="0000EE"/>
            <w:u w:val="single"/>
          </w:rPr>
          <w:t>[2]</w:t>
        </w:r>
      </w:hyperlink>
      <w:hyperlink r:id="rId11">
        <w:r>
          <w:rPr>
            <w:color w:val="0000EE"/>
            <w:u w:val="single"/>
          </w:rPr>
          <w:t>[3]</w:t>
        </w:r>
      </w:hyperlink>
      <w:hyperlink r:id="rId12">
        <w:r>
          <w:rPr>
            <w:color w:val="0000EE"/>
            <w:u w:val="single"/>
          </w:rPr>
          <w:t>[4]</w:t>
        </w:r>
      </w:hyperlink>
      <w:r/>
    </w:p>
    <w:p>
      <w:r/>
      <w:r>
        <w:t>A focused audit of legacy content makes that work actionable. Single Grain recommends treating a blog as a living knowledge base , scoring URLs by recency,trustworthiness and user impact , and prioritising updates where wrong answers would cause the most harm,not merely where traffic is highest.</w:t>
      </w:r>
      <w:hyperlink r:id="rId9">
        <w:r>
          <w:rPr>
            <w:color w:val="0000EE"/>
            <w:u w:val="single"/>
          </w:rPr>
          <w:t>[1]</w:t>
        </w:r>
      </w:hyperlink>
      <w:r>
        <w:t xml:space="preserve"> Complementary guidance from technical and practitioner's sources advocates Retrieval-Augmented Generation (RAG) and domain-specific models to ensure responses are grounded in verified,up-to-date documents rather than broad, undifferentiated corpora.</w:t>
      </w:r>
      <w:hyperlink r:id="rId11">
        <w:r>
          <w:rPr>
            <w:color w:val="0000EE"/>
            <w:u w:val="single"/>
          </w:rPr>
          <w:t>[3]</w:t>
        </w:r>
      </w:hyperlink>
      <w:hyperlink r:id="rId13">
        <w:r>
          <w:rPr>
            <w:color w:val="0000EE"/>
            <w:u w:val="single"/>
          </w:rPr>
          <w:t>[5]</w:t>
        </w:r>
      </w:hyperlink>
      <w:r/>
    </w:p>
    <w:p>
      <w:r/>
      <w:r>
        <w:t>Certain types of posts are outsized risk factors. Single Grain identifies fast-changing facts (pricing,timetables,regulation), tool-specific how-tos with deprecated UIs,and legal,health or financial guidance as especially dangerous when stale.</w:t>
      </w:r>
      <w:hyperlink r:id="rId9">
        <w:r>
          <w:rPr>
            <w:color w:val="0000EE"/>
            <w:u w:val="single"/>
          </w:rPr>
          <w:t>[1]</w:t>
        </w:r>
      </w:hyperlink>
      <w:r>
        <w:t xml:space="preserve"> That view is echoed by analyses warning that “garbage in,g arbage out” dynamics and poor-quality reference data drive erroneous outputs,so governance and content quality must be central to any AI strategy.</w:t>
      </w:r>
      <w:hyperlink r:id="rId12">
        <w:r>
          <w:rPr>
            <w:color w:val="0000EE"/>
            <w:u w:val="single"/>
          </w:rPr>
          <w:t>[4]</w:t>
        </w:r>
      </w:hyperlink>
      <w:r/>
    </w:p>
    <w:p>
      <w:r/>
      <w:r>
        <w:t>A repeatable refresh process reduces the chance of introducing new contradictions while fixing old ones. Single Grain sets out a disciplined sequence: verify the current truth with subject-matter experts,annotate mismatches,decide whether to update in place or republish with redirects,add clear “last updated” cues,and reindex the canonical URL so retrieval systems surface the corrected version.</w:t>
      </w:r>
      <w:hyperlink r:id="rId9">
        <w:r>
          <w:rPr>
            <w:color w:val="0000EE"/>
            <w:u w:val="single"/>
          </w:rPr>
          <w:t>[1]</w:t>
        </w:r>
      </w:hyperlink>
      <w:r>
        <w:t xml:space="preserve"> Technical write-ups add that automated tools can accelerate diffs and draft rewrites,but human sign-off remains indispensable to prevent subtle factual drift.</w:t>
      </w:r>
      <w:hyperlink r:id="rId10">
        <w:r>
          <w:rPr>
            <w:color w:val="0000EE"/>
            <w:u w:val="single"/>
          </w:rPr>
          <w:t>[2]</w:t>
        </w:r>
      </w:hyperlink>
      <w:hyperlink r:id="rId14">
        <w:r>
          <w:rPr>
            <w:color w:val="0000EE"/>
            <w:u w:val="single"/>
          </w:rPr>
          <w:t>[6]</w:t>
        </w:r>
      </w:hyperlink>
      <w:r/>
    </w:p>
    <w:p>
      <w:r/>
      <w:r>
        <w:t>Operationalising this at scale calls for measurement and governance. Single Grain proposes KPIs such as customer-reported inaccuracies,agent overrides in support workflows,and spot-checked answer accuracy from your own assistants,paired with scheduled review cadences by content category.</w:t>
      </w:r>
      <w:hyperlink r:id="rId9">
        <w:r>
          <w:rPr>
            <w:color w:val="0000EE"/>
            <w:u w:val="single"/>
          </w:rPr>
          <w:t>[1]</w:t>
        </w:r>
      </w:hyperlink>
      <w:r>
        <w:t xml:space="preserve"> Academic and industry literature similarly recommends embedding context and provenance tags in retrieval pipelines to detect and flag likely hallucinations,which reduces errors when models are supplied with precise source context.</w:t>
      </w:r>
      <w:hyperlink r:id="rId15">
        <w:r>
          <w:rPr>
            <w:color w:val="0000EE"/>
            <w:u w:val="single"/>
          </w:rPr>
          <w:t>[7]</w:t>
        </w:r>
      </w:hyperlink>
      <w:hyperlink r:id="rId11">
        <w:r>
          <w:rPr>
            <w:color w:val="0000EE"/>
            <w:u w:val="single"/>
          </w:rPr>
          <w:t>[3]</w:t>
        </w:r>
      </w:hyperlink>
      <w:r/>
    </w:p>
    <w:p>
      <w:r/>
      <w:r>
        <w:t>Prompting and system design matter too. Practitioners advise using explicit prompts,iterative querying,and parameter controls to lower the chance of confident fabrication,while integrating RAG so the model cites or leans on a small set of validated documents rather than open-ended memory.</w:t>
      </w:r>
      <w:hyperlink r:id="rId13">
        <w:r>
          <w:rPr>
            <w:color w:val="0000EE"/>
            <w:u w:val="single"/>
          </w:rPr>
          <w:t>[5]</w:t>
        </w:r>
      </w:hyperlink>
      <w:hyperlink r:id="rId11">
        <w:r>
          <w:rPr>
            <w:color w:val="0000EE"/>
            <w:u w:val="single"/>
          </w:rPr>
          <w:t>[3]</w:t>
        </w:r>
      </w:hyperlink>
      <w:r>
        <w:t xml:space="preserve"> Shelf.io and other commentators frame this as preventing “AI slop” by improving the quality of the content fed to models and by creating guardrails that force fallback behaviours when evidence is lacking.</w:t>
      </w:r>
      <w:hyperlink r:id="rId12">
        <w:r>
          <w:rPr>
            <w:color w:val="0000EE"/>
            <w:u w:val="single"/>
          </w:rPr>
          <w:t>[4]</w:t>
        </w:r>
      </w:hyperlink>
      <w:r/>
    </w:p>
    <w:p>
      <w:r/>
      <w:r>
        <w:t>For many organisations the pragmatic path combines editorial discipline with selective technical controls: score and prioritise legacy posts by impact,apply the refresh workflow to high-priority URLs,expose freshness metadata and canonical redirects,then close the loop by updating embeddings,search indexes and internal AI connectors so bots point at the revised source of truth. Single Grain positions this as both an AI-safety and brand-protection programme that also strengthens SEO and E-E-A-T when done methodically.</w:t>
      </w:r>
      <w:hyperlink r:id="rId9">
        <w:r>
          <w:rPr>
            <w:color w:val="0000EE"/>
            <w:u w:val="single"/>
          </w:rPr>
          <w:t>[1]</w:t>
        </w:r>
      </w:hyperlink>
      <w:r/>
    </w:p>
    <w:p>
      <w:r/>
      <w:r>
        <w:t>Reducing hallucinations is therefore not a single fix but a continuous programme of content stewardship,technical grounding,and human oversight. By auditing archives for high-risk pages,deploying RAG and provenance controls,maintaining strict review cadences,and measuring both human and AI-facing KPIs,organisations can turn legacy content from a liability into a dependable part of their AI strategy.</w:t>
      </w:r>
      <w:hyperlink r:id="rId9">
        <w:r>
          <w:rPr>
            <w:color w:val="0000EE"/>
            <w:u w:val="single"/>
          </w:rPr>
          <w:t>[1]</w:t>
        </w:r>
      </w:hyperlink>
      <w:hyperlink r:id="rId11">
        <w:r>
          <w:rPr>
            <w:color w:val="0000EE"/>
            <w:u w:val="single"/>
          </w:rPr>
          <w:t>[3]</w:t>
        </w:r>
      </w:hyperlink>
      <w:hyperlink r:id="rId12">
        <w:r>
          <w:rPr>
            <w:color w:val="0000EE"/>
            <w:u w:val="single"/>
          </w:rPr>
          <w:t>[4]</w:t>
        </w:r>
      </w:hyperlink>
      <w:hyperlink r:id="rId13">
        <w:r>
          <w:rPr>
            <w:color w:val="0000EE"/>
            <w:u w:val="single"/>
          </w:rPr>
          <w:t>[5]</w:t>
        </w:r>
      </w:hyperlink>
      <w:hyperlink r:id="rId10">
        <w:r>
          <w:rPr>
            <w:color w:val="0000EE"/>
            <w:u w:val="single"/>
          </w:rPr>
          <w:t>[2]</w:t>
        </w:r>
      </w:hyperlink>
      <w:hyperlink r:id="rId15">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(Single Grain) - Paragraph 1, Paragraph 2, Paragraph 4, Paragraph 5, Paragraph 6, Paragraph 8, Paragraph 9, Paragraph 10</w:t>
      </w:r>
      <w:r/>
    </w:p>
    <w:p>
      <w:pPr>
        <w:pStyle w:val="ListBullet"/>
        <w:spacing w:line="240" w:lineRule="auto"/>
        <w:ind w:left="720"/>
      </w:pPr>
      <w:r/>
      <w:hyperlink r:id="rId10">
        <w:r>
          <w:rPr>
            <w:color w:val="0000EE"/>
            <w:u w:val="single"/>
          </w:rPr>
          <w:t>[2]</w:t>
        </w:r>
      </w:hyperlink>
      <w:r>
        <w:t xml:space="preserve"> (AIYAHUB) - Paragraph 3, Paragraph 6, Paragraph 10</w:t>
      </w:r>
      <w:r/>
    </w:p>
    <w:p>
      <w:pPr>
        <w:pStyle w:val="ListBullet"/>
        <w:spacing w:line="240" w:lineRule="auto"/>
        <w:ind w:left="720"/>
      </w:pPr>
      <w:r/>
      <w:hyperlink r:id="rId11">
        <w:r>
          <w:rPr>
            <w:color w:val="0000EE"/>
            <w:u w:val="single"/>
          </w:rPr>
          <w:t>[3]</w:t>
        </w:r>
      </w:hyperlink>
      <w:r>
        <w:t xml:space="preserve"> (DigitalDefynd) - Paragraph 3, Paragraph 4, Paragraph 7, Paragraph 9, Paragraph 10</w:t>
      </w:r>
      <w:r/>
    </w:p>
    <w:p>
      <w:pPr>
        <w:pStyle w:val="ListBullet"/>
        <w:spacing w:line="240" w:lineRule="auto"/>
        <w:ind w:left="720"/>
      </w:pPr>
      <w:r/>
      <w:hyperlink r:id="rId12">
        <w:r>
          <w:rPr>
            <w:color w:val="0000EE"/>
            <w:u w:val="single"/>
          </w:rPr>
          <w:t>[4]</w:t>
        </w:r>
      </w:hyperlink>
      <w:r>
        <w:t xml:space="preserve"> (Shelf.io) - Paragraph 3, Paragraph 5, Paragraph 9, Paragraph 10</w:t>
      </w:r>
      <w:r/>
    </w:p>
    <w:p>
      <w:pPr>
        <w:pStyle w:val="ListBullet"/>
        <w:spacing w:line="240" w:lineRule="auto"/>
        <w:ind w:left="720"/>
      </w:pPr>
      <w:r/>
      <w:hyperlink r:id="rId13">
        <w:r>
          <w:rPr>
            <w:color w:val="0000EE"/>
            <w:u w:val="single"/>
          </w:rPr>
          <w:t>[5]</w:t>
        </w:r>
      </w:hyperlink>
      <w:r>
        <w:t xml:space="preserve"> (Symbio6) - Paragraph 4, Paragraph 9, Paragraph 10</w:t>
      </w:r>
      <w:r/>
    </w:p>
    <w:p>
      <w:pPr>
        <w:pStyle w:val="ListBullet"/>
        <w:spacing w:line="240" w:lineRule="auto"/>
        <w:ind w:left="720"/>
      </w:pPr>
      <w:r/>
      <w:hyperlink r:id="rId14">
        <w:r>
          <w:rPr>
            <w:color w:val="0000EE"/>
            <w:u w:val="single"/>
          </w:rPr>
          <w:t>[6]</w:t>
        </w:r>
      </w:hyperlink>
      <w:r>
        <w:t xml:space="preserve"> (Medium) - Paragraph 6</w:t>
      </w:r>
      <w:r/>
    </w:p>
    <w:p>
      <w:pPr>
        <w:pStyle w:val="ListBullet"/>
        <w:spacing w:line="240" w:lineRule="auto"/>
        <w:ind w:left="720"/>
      </w:pPr>
      <w:r/>
      <w:hyperlink r:id="rId15">
        <w:r>
          <w:rPr>
            <w:color w:val="0000EE"/>
            <w:u w:val="single"/>
          </w:rPr>
          <w:t>[7]</w:t>
        </w:r>
      </w:hyperlink>
      <w:r>
        <w:t xml:space="preserve"> (arXiv) - Paragraph 7, Paragraph 10</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https://www.singlegrain.com/content-marketing-strategy-2/how-to-reduce-ai-hallucinations-caused-by-outdated-blog-posts/</w:t>
        </w:r>
      </w:hyperlink>
      <w:r>
        <w:t xml:space="preserve"> - Please view link - unable to able to access data</w:t>
      </w:r>
      <w:r/>
    </w:p>
    <w:p>
      <w:pPr>
        <w:pStyle w:val="ListNumber"/>
        <w:spacing w:line="240" w:lineRule="auto"/>
        <w:ind w:left="720"/>
      </w:pPr>
      <w:r/>
      <w:hyperlink r:id="rId10">
        <w:r>
          <w:rPr>
            <w:color w:val="0000EE"/>
            <w:u w:val="single"/>
          </w:rPr>
          <w:t>https://www.aiyahub.com/eli5-ai/how-to-prevent-ai-hallucinations-when-using-chatgpt</w:t>
        </w:r>
      </w:hyperlink>
      <w:r>
        <w:t xml:space="preserve"> - This article discusses strategies to prevent AI hallucinations when using ChatGPT. It emphasizes the importance of fact-checking generated content, training AI with diverse data, implementing human oversight, and fine-tuning the AI model. The piece also highlights the significance of clear instructions and system-level guardrails to ensure AI-generated content remains accurate and reliable.</w:t>
      </w:r>
      <w:r/>
    </w:p>
    <w:p>
      <w:pPr>
        <w:pStyle w:val="ListNumber"/>
        <w:spacing w:line="240" w:lineRule="auto"/>
        <w:ind w:left="720"/>
      </w:pPr>
      <w:r/>
      <w:hyperlink r:id="rId11">
        <w:r>
          <w:rPr>
            <w:color w:val="0000EE"/>
            <w:u w:val="single"/>
          </w:rPr>
          <w:t>https://digitaldefynd.com/IQ/ways-to-prevent-ai-hallucinations/</w:t>
        </w:r>
      </w:hyperlink>
      <w:r>
        <w:t xml:space="preserve"> - This article outlines ten methods to prevent AI hallucinations, including using domain-specific AI tools, implementing Retrieval-Augmented Generation (RAG) techniques, and improving training data quality. It also discusses the importance of human oversight, iterative querying, and setting clear expectations to mitigate the risks associated with AI-generated content inaccuracies.</w:t>
      </w:r>
      <w:r/>
    </w:p>
    <w:p>
      <w:pPr>
        <w:pStyle w:val="ListNumber"/>
        <w:spacing w:line="240" w:lineRule="auto"/>
        <w:ind w:left="720"/>
      </w:pPr>
      <w:r/>
      <w:hyperlink r:id="rId12">
        <w:r>
          <w:rPr>
            <w:color w:val="0000EE"/>
            <w:u w:val="single"/>
          </w:rPr>
          <w:t>https://shelf.io/blog/garbage-in-garbage-out-ai-implementation/</w:t>
        </w:r>
      </w:hyperlink>
      <w:r>
        <w:t xml:space="preserve"> - This blog post addresses the issue of AI hallucinations, particularly in the context of generative language models. It introduces the concept of 'AI slop'—low-quality AI-generated content—and discusses how to combat it by grounding AI responses in verified knowledge. The article also highlights the role of human oversight and the importance of using structured, real-time data to improve AI accuracy.</w:t>
      </w:r>
      <w:r/>
    </w:p>
    <w:p>
      <w:pPr>
        <w:pStyle w:val="ListNumber"/>
        <w:spacing w:line="240" w:lineRule="auto"/>
        <w:ind w:left="720"/>
      </w:pPr>
      <w:r/>
      <w:hyperlink r:id="rId13">
        <w:r>
          <w:rPr>
            <w:color w:val="0000EE"/>
            <w:u w:val="single"/>
          </w:rPr>
          <w:t>https://symbio6.nl/en/blog/prompting-strategies-prevent-ai-hallucinations</w:t>
        </w:r>
      </w:hyperlink>
      <w:r>
        <w:t xml:space="preserve"> - This article provides twelve prompting strategies to prevent AI hallucinations, including model parameter adjustments, Retrieval-Augmented Generation (RAG), and iterative querying. It explains how these techniques can enhance the accuracy and reliability of AI-generated content by integrating external information and refining the AI's responses through multiple interactions.</w:t>
      </w:r>
      <w:r/>
    </w:p>
    <w:p>
      <w:pPr>
        <w:pStyle w:val="ListNumber"/>
        <w:spacing w:line="240" w:lineRule="auto"/>
        <w:ind w:left="720"/>
      </w:pPr>
      <w:r/>
      <w:hyperlink r:id="rId14">
        <w:r>
          <w:rPr>
            <w:color w:val="0000EE"/>
            <w:u w:val="single"/>
          </w:rPr>
          <w:t>https://medium.com/@kartikjain42/stop-your-ai-from-lying-reduce-hallucinations-1079fd50091f</w:t>
        </w:r>
      </w:hyperlink>
      <w:r>
        <w:t xml:space="preserve"> - This Medium article offers practical tips to reduce AI hallucinations, such as providing clear and specific instructions, adding system-level guardrails, and fine-tuning the AI model. It emphasizes the importance of human oversight and setting the right expectations to ensure AI-generated content is accurate and trustworthy.</w:t>
      </w:r>
      <w:r/>
    </w:p>
    <w:p>
      <w:pPr>
        <w:pStyle w:val="ListNumber"/>
        <w:spacing w:line="240" w:lineRule="auto"/>
        <w:ind w:left="720"/>
      </w:pPr>
      <w:r/>
      <w:hyperlink r:id="rId15">
        <w:r>
          <w:rPr>
            <w:color w:val="0000EE"/>
            <w:u w:val="single"/>
          </w:rPr>
          <w:t>https://arxiv.org/abs/2306.06085</w:t>
        </w:r>
      </w:hyperlink>
      <w:r>
        <w:t xml:space="preserve"> - This academic paper presents a method to recognize and flag instances when large language models (LLMs) generate false or fabricated information, known as 'hallucinations.' It proposes using context combined with embedded tags to successfully combat hallucinations within generative language models, achieving a significant reduction in overall hallucination when context is supplied along with question prompts.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inglegrain.com/content-marketing-strategy-2/how-to-reduce-ai-hallucinations-caused-by-outdated-blog-posts/" TargetMode="External"/><Relationship Id="rId10" Type="http://schemas.openxmlformats.org/officeDocument/2006/relationships/hyperlink" Target="https://www.aiyahub.com/eli5-ai/how-to-prevent-ai-hallucinations-when-using-chatgpt" TargetMode="External"/><Relationship Id="rId11" Type="http://schemas.openxmlformats.org/officeDocument/2006/relationships/hyperlink" Target="https://digitaldefynd.com/IQ/ways-to-prevent-ai-hallucinations/" TargetMode="External"/><Relationship Id="rId12" Type="http://schemas.openxmlformats.org/officeDocument/2006/relationships/hyperlink" Target="https://shelf.io/blog/garbage-in-garbage-out-ai-implementation/" TargetMode="External"/><Relationship Id="rId13" Type="http://schemas.openxmlformats.org/officeDocument/2006/relationships/hyperlink" Target="https://symbio6.nl/en/blog/prompting-strategies-prevent-ai-hallucinations" TargetMode="External"/><Relationship Id="rId14" Type="http://schemas.openxmlformats.org/officeDocument/2006/relationships/hyperlink" Target="https://medium.com/@kartikjain42/stop-your-ai-from-lying-reduce-hallucinations-1079fd50091f" TargetMode="External"/><Relationship Id="rId15" Type="http://schemas.openxmlformats.org/officeDocument/2006/relationships/hyperlink" Target="https://arxiv.org/abs/2306.0608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