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Reimagining internal linking: AI-driven strategies transform website architecture for better search discovery</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 xml:space="preserve">LLM-aware internal linking has emerged as a core architectural practice for sites that expect to be discovered and cited by AI-driven search, conversational assistants and retrieval-augmented systems. According to Single Grain, links are no longer only vehicles for PageRank and human navigation but semantic signals that help large language models reconstruct a site’s meaning from fragments such as headings, paragraphs and anchor text. When those signals are noisy or generic, models struggle to retrieve the right chunks, producing weaker summaries, missed citations and diminished visibility in AI Overviews. </w:t>
      </w:r>
      <w:hyperlink r:id="rId9">
        <w:r>
          <w:rPr>
            <w:color w:val="0000EE"/>
            <w:u w:val="single"/>
          </w:rPr>
          <w:t>[1]</w:t>
        </w:r>
      </w:hyperlink>
      <w:hyperlink r:id="rId9">
        <w:r>
          <w:rPr>
            <w:color w:val="0000EE"/>
            <w:u w:val="single"/>
          </w:rPr>
          <w:t>[2]</w:t>
        </w:r>
      </w:hyperlink>
      <w:r/>
    </w:p>
    <w:p>
      <w:r/>
      <w:r>
        <w:t xml:space="preserve">This shift changes the unit of optimisation from isolated pages to an interconnected knowledge graph. Industry commentary and practical guides argue that anchor text, placement and cross-link patterns collectively encode relationships, cause and effect, prerequisite and outcome, problem and solution, that an LLM can use to infer “who does what for whom, under which conditions.” Single Grain recommends treating anchors as explicit relationship statements (for example, "onboarding’s impact on churn risk") rather than generic prompts like "learn more". </w:t>
      </w:r>
      <w:hyperlink r:id="rId9">
        <w:r>
          <w:rPr>
            <w:color w:val="0000EE"/>
            <w:u w:val="single"/>
          </w:rPr>
          <w:t>[1]</w:t>
        </w:r>
      </w:hyperlink>
      <w:hyperlink r:id="rId9">
        <w:r>
          <w:rPr>
            <w:color w:val="0000EE"/>
            <w:u w:val="single"/>
          </w:rPr>
          <w:t>[2]</w:t>
        </w:r>
      </w:hyperlink>
      <w:r/>
    </w:p>
    <w:p>
      <w:r/>
      <w:r>
        <w:t xml:space="preserve">How AI crawlers and retrieval pipelines interpret links explains why this matters. Most retrieval stacks crawl pages, segment content into chunks, compute vector embeddings, and then retrieve those vectors in response to queries. Embedded relationships and nearby contextual anchors become metadata that enriches embeddings and raises confidence about how chunks relate. Growth Marshal and Embedded Retrieval Optimization resources similarly stress aligning content structure to embedding models so that semantic retrieval surfaces the most relevant passages. </w:t>
      </w:r>
      <w:hyperlink r:id="rId9">
        <w:r>
          <w:rPr>
            <w:color w:val="0000EE"/>
            <w:u w:val="single"/>
          </w:rPr>
          <w:t>[1]</w:t>
        </w:r>
      </w:hyperlink>
      <w:hyperlink r:id="rId10">
        <w:r>
          <w:rPr>
            <w:color w:val="0000EE"/>
            <w:u w:val="single"/>
          </w:rPr>
          <w:t>[4]</w:t>
        </w:r>
      </w:hyperlink>
      <w:hyperlink r:id="rId10">
        <w:r>
          <w:rPr>
            <w:color w:val="0000EE"/>
            <w:u w:val="single"/>
          </w:rPr>
          <w:t>[6]</w:t>
        </w:r>
      </w:hyperlink>
      <w:r/>
    </w:p>
    <w:p>
      <w:r/>
      <w:r>
        <w:t xml:space="preserve">Practical auditing begins with a content inventory and entity classification: tag URLs by entity type (product, feature, industry, problem, solution), map links by purpose (navigational, structural, contextual), and evaluate anchors for relationship richness rather than keyword-only phrasing. Single Grain outlines prioritising fixes where LLM exposure affects revenue, educational-to-conversion flows, docs-to-upgrade paths, and pairing link fixes with structured page summaries to improve AI snippets. AIrops and RankTracker emphasise the role of AI tooling in surfacing orphaned pages and optimising link distribution at scale. </w:t>
      </w:r>
      <w:hyperlink r:id="rId9">
        <w:r>
          <w:rPr>
            <w:color w:val="0000EE"/>
            <w:u w:val="single"/>
          </w:rPr>
          <w:t>[1]</w:t>
        </w:r>
      </w:hyperlink>
      <w:hyperlink r:id="rId11">
        <w:r>
          <w:rPr>
            <w:color w:val="0000EE"/>
            <w:u w:val="single"/>
          </w:rPr>
          <w:t>[3]</w:t>
        </w:r>
      </w:hyperlink>
      <w:hyperlink r:id="rId12">
        <w:r>
          <w:rPr>
            <w:color w:val="0000EE"/>
            <w:u w:val="single"/>
          </w:rPr>
          <w:t>[5]</w:t>
        </w:r>
      </w:hyperlink>
      <w:r/>
    </w:p>
    <w:p>
      <w:r/>
      <w:r>
        <w:t xml:space="preserve">Different site archetypes demand tailored blueprints. For B2B SaaS, marketing pages should funnel into docs with anchors indicating persona and lifecycle stage ("implementation guide for admins"); docs should link back to case studies and upgrade paths. E‑commerce hubs should use facet-rich anchors ("waterproof hiking boots for winter conditions") to support AI-driven product finders. Publishers must tune related-article modules to add complementary angles rather than duplicates. Support centres and API docs require extreme precision so internal RAG assistants can reliably map errors to fixes. Single Grain’s framework and the sector analyses reflect these template-level distinctions. </w:t>
      </w:r>
      <w:hyperlink r:id="rId9">
        <w:r>
          <w:rPr>
            <w:color w:val="0000EE"/>
            <w:u w:val="single"/>
          </w:rPr>
          <w:t>[1]</w:t>
        </w:r>
      </w:hyperlink>
      <w:hyperlink r:id="rId9">
        <w:r>
          <w:rPr>
            <w:color w:val="0000EE"/>
            <w:u w:val="single"/>
          </w:rPr>
          <w:t>[2]</w:t>
        </w:r>
      </w:hyperlink>
      <w:r/>
    </w:p>
    <w:p>
      <w:r/>
      <w:r>
        <w:t xml:space="preserve">Scale requires automation with strong guardrails. AI-generated link suggestions can be constrained to candidate sets that share primary entities or topic clusters and filtered by rules such as maximum contextual links per word count and anchor composition requirements. Growth Marshal’s and Single Grain’s guidance recommends programmatic linking from taxonomies where appropriate, combined with dashboards tracking link depth, density and relationship-rich anchor proportions to avoid crawl traps and topical dilution. </w:t>
      </w:r>
      <w:hyperlink r:id="rId9">
        <w:r>
          <w:rPr>
            <w:color w:val="0000EE"/>
            <w:u w:val="single"/>
          </w:rPr>
          <w:t>[1]</w:t>
        </w:r>
      </w:hyperlink>
      <w:hyperlink r:id="rId10">
        <w:r>
          <w:rPr>
            <w:color w:val="0000EE"/>
            <w:u w:val="single"/>
          </w:rPr>
          <w:t>[4]</w:t>
        </w:r>
      </w:hyperlink>
      <w:hyperlink r:id="rId10">
        <w:r>
          <w:rPr>
            <w:color w:val="0000EE"/>
            <w:u w:val="single"/>
          </w:rPr>
          <w:t>[6]</w:t>
        </w:r>
      </w:hyperlink>
      <w:r/>
    </w:p>
    <w:p>
      <w:r/>
      <w:r>
        <w:t xml:space="preserve">Adopting an LLM-first linking strategy also aligns with emerging differences between how LLMs and traditional search engines index content. RankTracker notes that LLM-oriented systems build semantic summaries, prioritise trusted sources and sometimes fetch fewer pages, so strong topical clustering and machine-readable structure increase the chance content will be selected and excerpted. Embedded Retrieval Optimization adds that prompt-surface and chunk-level design influence which passages are retrieved and why. Together, these perspectives imply that internal links should be engineered both for discovery and for the semantic clarity that embeddings require. </w:t>
      </w:r>
      <w:hyperlink r:id="rId12">
        <w:r>
          <w:rPr>
            <w:color w:val="0000EE"/>
            <w:u w:val="single"/>
          </w:rPr>
          <w:t>[5]</w:t>
        </w:r>
      </w:hyperlink>
      <w:hyperlink r:id="rId10">
        <w:r>
          <w:rPr>
            <w:color w:val="0000EE"/>
            <w:u w:val="single"/>
          </w:rPr>
          <w:t>[4]</w:t>
        </w:r>
      </w:hyperlink>
      <w:r/>
    </w:p>
    <w:p>
      <w:r/>
      <w:r>
        <w:t xml:space="preserve">Turning internal linking into a competitive advantage demands governance: encode topics, entities and relationships as first-class citizens in sitemaps and templates; automate where it scales; and retain human review on high-impact pages. Single Grain frames this as a move from incremental SEO tweaks to an AI-first architecture that connects site structure, retrieval performance and business metrics. Practitioners should measure retrieval quality, answer coverage and citation rates alongside traditional ranking metrics to assess success in generative and RAG-driven contexts. </w:t>
      </w:r>
      <w:hyperlink r:id="rId9">
        <w:r>
          <w:rPr>
            <w:color w:val="0000EE"/>
            <w:u w:val="single"/>
          </w:rPr>
          <w:t>[1]</w:t>
        </w:r>
      </w:hyperlink>
      <w:hyperlink r:id="rId9">
        <w:r>
          <w:rPr>
            <w:color w:val="0000EE"/>
            <w:u w:val="single"/>
          </w:rPr>
          <w:t>[2]</w:t>
        </w:r>
      </w:hyperlink>
      <w:hyperlink r:id="rId11">
        <w:r>
          <w:rPr>
            <w:color w:val="0000EE"/>
            <w:u w:val="single"/>
          </w:rPr>
          <w:t>[3]</w:t>
        </w:r>
      </w:hyperlink>
      <w:r/>
    </w:p>
    <w:p>
      <w:pPr>
        <w:pStyle w:val="Heading3"/>
      </w:pPr>
      <w:r>
        <w:t>📌 Reference Map:</w:t>
      </w:r>
      <w:r/>
    </w:p>
    <w:p>
      <w:pPr>
        <w:pStyle w:val="Heading2"/>
      </w:pPr>
      <w:r>
        <w:t>Reference Map:</w:t>
      </w:r>
      <w:r/>
      <w:r/>
    </w:p>
    <w:p>
      <w:pPr>
        <w:pStyle w:val="ListBullet"/>
        <w:spacing w:line="240" w:lineRule="auto"/>
        <w:ind w:left="720"/>
      </w:pPr>
      <w:r/>
      <w:hyperlink r:id="rId9">
        <w:r>
          <w:rPr>
            <w:color w:val="0000EE"/>
            <w:u w:val="single"/>
          </w:rPr>
          <w:t>[1]</w:t>
        </w:r>
      </w:hyperlink>
      <w:r>
        <w:t xml:space="preserve"> (Single Grain) - Paragraph 1, Paragraph 2, Paragraph 4, Paragraph 5, Paragraph 6, Paragraph 8</w:t>
      </w:r>
      <w:r/>
    </w:p>
    <w:p>
      <w:pPr>
        <w:pStyle w:val="ListBullet"/>
        <w:spacing w:line="240" w:lineRule="auto"/>
        <w:ind w:left="720"/>
      </w:pPr>
      <w:r/>
      <w:hyperlink r:id="rId9">
        <w:r>
          <w:rPr>
            <w:color w:val="0000EE"/>
            <w:u w:val="single"/>
          </w:rPr>
          <w:t>[2]</w:t>
        </w:r>
      </w:hyperlink>
      <w:r>
        <w:t xml:space="preserve"> (Single Grain summary) - Paragraph 1, Paragraph 2, Paragraph 5, Paragraph 8</w:t>
      </w:r>
      <w:r/>
    </w:p>
    <w:p>
      <w:pPr>
        <w:pStyle w:val="ListBullet"/>
        <w:spacing w:line="240" w:lineRule="auto"/>
        <w:ind w:left="720"/>
      </w:pPr>
      <w:r/>
      <w:hyperlink r:id="rId11">
        <w:r>
          <w:rPr>
            <w:color w:val="0000EE"/>
            <w:u w:val="single"/>
          </w:rPr>
          <w:t>[3]</w:t>
        </w:r>
      </w:hyperlink>
      <w:r>
        <w:t xml:space="preserve"> (AiRops) - Paragraph 4, Paragraph 8</w:t>
      </w:r>
      <w:r/>
    </w:p>
    <w:p>
      <w:pPr>
        <w:pStyle w:val="ListBullet"/>
        <w:spacing w:line="240" w:lineRule="auto"/>
        <w:ind w:left="720"/>
      </w:pPr>
      <w:r/>
      <w:hyperlink r:id="rId10">
        <w:r>
          <w:rPr>
            <w:color w:val="0000EE"/>
            <w:u w:val="single"/>
          </w:rPr>
          <w:t>[4]</w:t>
        </w:r>
      </w:hyperlink>
      <w:r>
        <w:t xml:space="preserve"> (Growth Marshal) - Paragraph 3, Paragraph 6, Paragraph 7</w:t>
      </w:r>
      <w:r/>
    </w:p>
    <w:p>
      <w:pPr>
        <w:pStyle w:val="ListBullet"/>
        <w:spacing w:line="240" w:lineRule="auto"/>
        <w:ind w:left="720"/>
      </w:pPr>
      <w:r/>
      <w:hyperlink r:id="rId12">
        <w:r>
          <w:rPr>
            <w:color w:val="0000EE"/>
            <w:u w:val="single"/>
          </w:rPr>
          <w:t>[5]</w:t>
        </w:r>
      </w:hyperlink>
      <w:r>
        <w:t xml:space="preserve"> (RankTracker) - Paragraph 7</w:t>
      </w:r>
      <w:r/>
    </w:p>
    <w:p>
      <w:pPr>
        <w:pStyle w:val="ListBullet"/>
        <w:spacing w:line="240" w:lineRule="auto"/>
        <w:ind w:left="720"/>
      </w:pPr>
      <w:r/>
      <w:hyperlink r:id="rId10">
        <w:r>
          <w:rPr>
            <w:color w:val="0000EE"/>
            <w:u w:val="single"/>
          </w:rPr>
          <w:t>[6]</w:t>
        </w:r>
      </w:hyperlink>
      <w:r>
        <w:t xml:space="preserve"> (Growth Marshal duplicate) - Paragraph 3, Paragraph 6</w:t>
      </w:r>
      <w:r/>
      <w:r/>
    </w:p>
    <w:p>
      <w:r/>
      <w:r>
        <w:t xml:space="preserve">Source: </w:t>
      </w:r>
      <w:hyperlink r:id="rId13">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https://www.singlegrain.com/blog-posts/link-building/optimizing-internal-linking-for-ai-crawlers-and-retrieval-models/</w:t>
        </w:r>
      </w:hyperlink>
      <w:r>
        <w:t xml:space="preserve"> - Please view link - unable to able to access data</w:t>
      </w:r>
      <w:r/>
    </w:p>
    <w:p>
      <w:pPr>
        <w:pStyle w:val="ListNumber"/>
        <w:spacing w:line="240" w:lineRule="auto"/>
        <w:ind w:left="720"/>
      </w:pPr>
      <w:r/>
      <w:hyperlink r:id="rId9">
        <w:r>
          <w:rPr>
            <w:color w:val="0000EE"/>
            <w:u w:val="single"/>
          </w:rPr>
          <w:t>https://www.singlegrain.com/blog-posts/link-building/optimizing-internal-linking-for-ai-crawlers-and-retrieval-models/</w:t>
        </w:r>
      </w:hyperlink>
      <w:r>
        <w:t xml:space="preserve"> - This article discusses the importance of optimising internal linking strategies to enhance AI crawlers' understanding of websites. It highlights the need for a deliberate internal linking approach that treats links as semantic signals, not just ranking tools. The piece also explains how AI systems reconstruct a site's meaning from fragments like headings, paragraphs, and anchor text, emphasising the significance of clear and consistent internal links for improved AI-generated summaries and visibility.</w:t>
      </w:r>
      <w:r/>
    </w:p>
    <w:p>
      <w:pPr>
        <w:pStyle w:val="ListNumber"/>
        <w:spacing w:line="240" w:lineRule="auto"/>
        <w:ind w:left="720"/>
      </w:pPr>
      <w:r/>
      <w:hyperlink r:id="rId11">
        <w:r>
          <w:rPr>
            <w:color w:val="0000EE"/>
            <w:u w:val="single"/>
          </w:rPr>
          <w:t>https://www.airops.com/blog/using-ai-to-improve-seo-exploring-internal-links-and-backlinks</w:t>
        </w:r>
      </w:hyperlink>
      <w:r>
        <w:t xml:space="preserve"> - This blog post explores how artificial intelligence can enhance SEO through improved internal and external linking. It outlines methods for auditing internal links with AI, identifying orphaned or underlinked pages, and optimising link distribution. The article also discusses the role of AI in managing link equity and ensuring scalability and consistency in internal linking strategies, providing insights into leveraging AI for advanced SEO performance.</w:t>
      </w:r>
      <w:r/>
    </w:p>
    <w:p>
      <w:pPr>
        <w:pStyle w:val="ListNumber"/>
        <w:spacing w:line="240" w:lineRule="auto"/>
        <w:ind w:left="720"/>
      </w:pPr>
      <w:r/>
      <w:hyperlink r:id="rId10">
        <w:r>
          <w:rPr>
            <w:color w:val="0000EE"/>
            <w:u w:val="single"/>
          </w:rPr>
          <w:t>https://www.growthmarshal.io/zero-click/embedded-retrieval-optimization</w:t>
        </w:r>
      </w:hyperlink>
      <w:r>
        <w:t xml:space="preserve"> - This article introduces Embedded Retrieval Optimization, a strategy to enhance AI search performance by aligning content with the embedding models powering modern AI search. It explains how AI models retrieve information based on semantic embeddings rather than keywords, emphasising the need for content to be semantically aligned to be visible to AI systems. The piece also discusses the importance of structuring content to guide embedding models and the role of prompt surface optimisation in AI retrieval.</w:t>
      </w:r>
      <w:r/>
    </w:p>
    <w:p>
      <w:pPr>
        <w:pStyle w:val="ListNumber"/>
        <w:spacing w:line="240" w:lineRule="auto"/>
        <w:ind w:left="720"/>
      </w:pPr>
      <w:r/>
      <w:hyperlink r:id="rId12">
        <w:r>
          <w:rPr>
            <w:color w:val="0000EE"/>
            <w:u w:val="single"/>
          </w:rPr>
          <w:t>https://www.ranktracker.com/blog/llms-vs-google-indexing/</w:t>
        </w:r>
      </w:hyperlink>
      <w:r>
        <w:t xml:space="preserve"> - This blog post compares how large language models (LLMs) and traditional search engines like Google crawl and index the web. It highlights differences in crawling behaviour, such as LLMs fetching fewer pages, prioritising trusted sources, and building semantic summaries. The article also discusses the role of real-time retrieval crawlers and RAG (Retrieval-Augmented Generation) pipelines in AI search, providing insights into how LLMs process and retrieve information differently from traditional search engines.</w:t>
      </w:r>
      <w:r/>
    </w:p>
    <w:p>
      <w:pPr>
        <w:pStyle w:val="ListNumber"/>
        <w:spacing w:line="240" w:lineRule="auto"/>
        <w:ind w:left="720"/>
      </w:pPr>
      <w:r/>
      <w:hyperlink r:id="rId10">
        <w:r>
          <w:rPr>
            <w:color w:val="0000EE"/>
            <w:u w:val="single"/>
          </w:rPr>
          <w:t>https://www.growthmarshal.io/zero-click/embedded-retrieval-optimization</w:t>
        </w:r>
      </w:hyperlink>
      <w:r>
        <w:t xml:space="preserve"> - This article introduces Embedded Retrieval Optimization, a strategy to enhance AI search performance by aligning content with the embedding models powering modern AI search. It explains how AI models retrieve information based on semantic embeddings rather than keywords, emphasising the need for content to be semantically aligned to be visible to AI systems. The piece also discusses the importance of structuring content to guide embedding models and the role of prompt surface optimisation in AI retrieval.</w:t>
      </w:r>
      <w:r/>
    </w:p>
    <w:p>
      <w:pPr>
        <w:pStyle w:val="ListNumber"/>
        <w:spacing w:line="240" w:lineRule="auto"/>
        <w:ind w:left="720"/>
      </w:pPr>
      <w:r/>
      <w:hyperlink r:id="rId9">
        <w:r>
          <w:rPr>
            <w:color w:val="0000EE"/>
            <w:u w:val="single"/>
          </w:rPr>
          <w:t>https://www.singlegrain.com/blog-posts/link-building/optimizing-internal-linking-for-ai-crawlers-and-retrieval-models/</w:t>
        </w:r>
      </w:hyperlink>
      <w:r>
        <w:t xml:space="preserve"> - This article discusses the importance of optimising internal linking strategies to enhance AI crawlers' understanding of websites. It highlights the need for a deliberate internal linking approach that treats links as semantic signals, not just ranking tools. The piece also explains how AI systems reconstruct a site's meaning from fragments like headings, paragraphs, and anchor text, emphasising the significance of clear and consistent internal links for improved AI-generated summaries and visibility.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singlegrain.com/blog-posts/link-building/optimizing-internal-linking-for-ai-crawlers-and-retrieval-models/" TargetMode="External"/><Relationship Id="rId10" Type="http://schemas.openxmlformats.org/officeDocument/2006/relationships/hyperlink" Target="https://www.growthmarshal.io/zero-click/embedded-retrieval-optimization" TargetMode="External"/><Relationship Id="rId11" Type="http://schemas.openxmlformats.org/officeDocument/2006/relationships/hyperlink" Target="https://www.airops.com/blog/using-ai-to-improve-seo-exploring-internal-links-and-backlinks" TargetMode="External"/><Relationship Id="rId12" Type="http://schemas.openxmlformats.org/officeDocument/2006/relationships/hyperlink" Target="https://www.ranktracker.com/blog/llms-vs-google-indexing/" TargetMode="External"/><Relationship Id="rId13"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