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Reorienting AI research towards physics-informed, hybrid models for trustworthy scientific progress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Artificial intelligence has captured public imagination as a transformative force, yet a growing body of work argues that measurable scientific progress from current AI architectures remains modest and uneven. According to the article on Quantum Zeitgeist and a companion arXiv paper by Peter Coveney and Roger Highfield, much contemporary AI, especially large foundation models, achieves striking pattern recognition but frequently fails to capture the causal, law-like structure that governs physics, chemistry and biology. The authors propose a reorientation they call "Big AI": hybrid systems that combine established theoretical frameworks with the adaptability of machine learning to produce more robust, interpretable and trustworthy models. </w:t>
      </w:r>
      <w:hyperlink r:id="rId9">
        <w:r>
          <w:rPr>
            <w:color w:val="0000EE"/>
            <w:u w:val="single"/>
          </w:rPr>
          <w:t>[1]</w:t>
        </w:r>
      </w:hyperlink>
      <w:hyperlink r:id="rId10">
        <w:r>
          <w:rPr>
            <w:color w:val="0000EE"/>
            <w:u w:val="single"/>
          </w:rPr>
          <w:t>[2]</w:t>
        </w:r>
      </w:hyperlink>
      <w:r/>
    </w:p>
    <w:p>
      <w:r/>
      <w:r>
        <w:t xml:space="preserve">The central critique is empirical. Researchers show foundation models can predict observables accurately within their training distribution yet do not internalise governing laws. In one illustrative experiment examined by Coveney and Highfield, a model trained on orbital trajectories reproduced celestial motions but did not infer Newton's law of gravity; instead it relied on task-specific shortcuts akin to the historical Ptolemaic strategy of epicycles. That failure to extrapolate beyond training data surfaces repeatedly as a risk when models are judged by generalisation to novel physical regimes.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Part of the problem lies in dominant algorithmic assumptions and loss formulations. The tendency of many machine‑learning pipelines to presume Gaussian statistics and to balance composite loss terms poorly can produce unstable or biased results when confronted with nonlinear, discontinuous real‑world systems. Prior research into physics‑informed neural networks (PINNs) has documented such numerical pathologies, notably gradient imbalances during training, and has proposed fixes, learning‑rate annealing driven by gradient statistics and new architectures, that greatly improve stability and accuracy across physics tasks. These advances illustrate how theory‑aware engineering of training procedures can mitigate failure modes of purely empirical models. </w:t>
      </w:r>
      <w:hyperlink r:id="rId9">
        <w:r>
          <w:rPr>
            <w:color w:val="0000EE"/>
            <w:u w:val="single"/>
          </w:rPr>
          <w:t>[1]</w:t>
        </w:r>
      </w:hyperlink>
      <w:hyperlink r:id="rId12">
        <w:r>
          <w:rPr>
            <w:color w:val="0000EE"/>
            <w:u w:val="single"/>
          </w:rPr>
          <w:t>[3]</w:t>
        </w:r>
      </w:hyperlink>
      <w:r/>
    </w:p>
    <w:p>
      <w:r/>
      <w:r>
        <w:t xml:space="preserve">A convergent literature shows that embedding physical constraints into model structure reduces parameter counts and improves generalisation. Work presented at ML4PhysicalSciences demonstrates that PINNs act as adaptive, learned basis expansions constrained to physically consistent function spaces, enabling accurate reconstruction and robust extrapolation of gravitational fields and other quantities with far fewer parameters than unconstrained networks. Such constraints allow networks to capture causal structure rather than merely interpolating correlations. </w:t>
      </w:r>
      <w:hyperlink r:id="rId13">
        <w:r>
          <w:rPr>
            <w:color w:val="0000EE"/>
            <w:u w:val="single"/>
          </w:rPr>
          <w:t>[6]</w:t>
        </w:r>
      </w:hyperlink>
      <w:hyperlink r:id="rId12">
        <w:r>
          <w:rPr>
            <w:color w:val="0000EE"/>
            <w:u w:val="single"/>
          </w:rPr>
          <w:t>[3]</w:t>
        </w:r>
      </w:hyperlink>
      <w:r/>
    </w:p>
    <w:p>
      <w:r/>
      <w:r>
        <w:t xml:space="preserve">Recent evaluations of reasoning‑optimised large language models expose the unevenness of current capabilities. A broad assessment of an OpenAI reasoning model solved a high proportion of introductory mechanics problems but struggled with later chapters such as waves and thermodynamics, underscoring that even reasoning‑tuned architectures have limits when asked to generalise deep physical principles across domains. Complementary work using ensembles or collaborating agent frameworks shows promise: systems of specialised language models cooperating to plan, code, execute and criticise can effectively implement numerical methods, self‑correct and extend capacity on classical mechanics problems when tasks are decomposed and cross‑checked. These hybrid, multi‑agent strategies echo the Big AI ethos of mixing symbolic, numerical and learned components. </w:t>
      </w:r>
      <w:hyperlink r:id="rId11">
        <w:r>
          <w:rPr>
            <w:color w:val="0000EE"/>
            <w:u w:val="single"/>
          </w:rPr>
          <w:t>[4]</w:t>
        </w:r>
      </w:hyperlink>
      <w:hyperlink r:id="rId14">
        <w:r>
          <w:rPr>
            <w:color w:val="0000EE"/>
            <w:u w:val="single"/>
          </w:rPr>
          <w:t>[5]</w:t>
        </w:r>
      </w:hyperlink>
      <w:r/>
    </w:p>
    <w:p>
      <w:r/>
      <w:r>
        <w:t xml:space="preserve">The practical payoffs of a physics‑grounded Big AI are wide. Researchers have demonstrated that physics‑informed operators can generalise to previously unseen materials without retraining, training on a modest set of materials and predicting properties for tens of new ones with high accuracy, pointing to scalable workflows for materials discovery. Industry and academic proponents argue the same synthesis could accelerate drug design, improve weather and extreme‑event forecasting, and enable credible digital twins for personalised healthcare by constraining models with mechanistic knowledge while exploiting data‑driven adaptivity. According to reporting on a Physics‑Informed Neural Operator breakthrough, such approaches promise high‑speed, large‑scale screening with preserved reliability. </w:t>
      </w:r>
      <w:hyperlink r:id="rId15">
        <w:r>
          <w:rPr>
            <w:color w:val="0000EE"/>
            <w:u w:val="single"/>
          </w:rPr>
          <w:t>[7]</w:t>
        </w:r>
      </w:hyperlink>
      <w:hyperlink r:id="rId9">
        <w:r>
          <w:rPr>
            <w:color w:val="0000EE"/>
            <w:u w:val="single"/>
          </w:rPr>
          <w:t>[1]</w:t>
        </w:r>
      </w:hyperlink>
      <w:hyperlink r:id="rId13">
        <w:r>
          <w:rPr>
            <w:color w:val="0000EE"/>
            <w:u w:val="single"/>
          </w:rPr>
          <w:t>[6]</w:t>
        </w:r>
      </w:hyperlink>
      <w:r/>
    </w:p>
    <w:p>
      <w:r/>
      <w:r>
        <w:t xml:space="preserve">Adopting Big AI requires an intellectual and engineering shift: treat theoretical physics, chemistry and biology not as optional sources of features but as structural priors that shape model hypotheses and training dynamics. The arXiv paper and supporting studies stress careful uncertainty quantification, rejection of convenient but misleading distributional assumptions, and modular architectures that make failures diagnosable and correctable. Where company announcements tout scale as a substitute for understanding, the literature counsels editorial distance: the claim that larger parameter counts alone deliver scientific insight remains unproven. </w:t>
      </w:r>
      <w:hyperlink r:id="rId10">
        <w:r>
          <w:rPr>
            <w:color w:val="0000EE"/>
            <w:u w:val="single"/>
          </w:rPr>
          <w:t>[2]</w:t>
        </w:r>
      </w:hyperlink>
      <w:hyperlink r:id="rId9">
        <w:r>
          <w:rPr>
            <w:color w:val="0000EE"/>
            <w:u w:val="single"/>
          </w:rPr>
          <w:t>[1]</w:t>
        </w:r>
      </w:hyperlink>
      <w:hyperlink r:id="rId12">
        <w:r>
          <w:rPr>
            <w:color w:val="0000EE"/>
            <w:u w:val="single"/>
          </w:rPr>
          <w:t>[3]</w:t>
        </w:r>
      </w:hyperlink>
      <w:r/>
    </w:p>
    <w:p>
      <w:r/>
      <w:r>
        <w:t xml:space="preserve">If the goal is trustworthy, actionable AI for science, engineering and medicine, the path forward appears clear: integrate the rigor of physical theory with the flexibility of machine learning, exploit hybrid numerical–learned pipelines, and invest in diagnostics and training regimes that privilege generalisation to new physical regimes. The convergence of PINN innovations, agent‑based workflows and physics‑informed operators offers a practicable blueprint for Big AI, one that aims not merely to simulate intelligence but to encode the laws that make the world intelligible. </w:t>
      </w:r>
      <w:hyperlink r:id="rId12">
        <w:r>
          <w:rPr>
            <w:color w:val="0000EE"/>
            <w:u w:val="single"/>
          </w:rPr>
          <w:t>[3]</w:t>
        </w:r>
      </w:hyperlink>
      <w:hyperlink r:id="rId14">
        <w:r>
          <w:rPr>
            <w:color w:val="0000EE"/>
            <w:u w:val="single"/>
          </w:rPr>
          <w:t>[5]</w:t>
        </w:r>
      </w:hyperlink>
      <w:hyperlink r:id="rId13">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(Quantum Zeitgeist) - Paragraph 1, Paragraph 2, Paragraph 6, Paragraph 7 </w:t>
      </w:r>
      <w:r/>
    </w:p>
    <w:p>
      <w:pPr>
        <w:pStyle w:val="ListBullet"/>
        <w:spacing w:line="240" w:lineRule="auto"/>
        <w:ind w:left="720"/>
      </w:pPr>
      <w:r/>
      <w:hyperlink r:id="rId10">
        <w:r>
          <w:rPr>
            <w:color w:val="0000EE"/>
            <w:u w:val="single"/>
          </w:rPr>
          <w:t>[2]</w:t>
        </w:r>
      </w:hyperlink>
      <w:r>
        <w:t xml:space="preserve"> (arXiv:2512.16344) - Paragraph 1, Paragraph 2, Paragraph 7 </w:t>
      </w:r>
      <w:r/>
    </w:p>
    <w:p>
      <w:pPr>
        <w:pStyle w:val="ListBullet"/>
        <w:spacing w:line="240" w:lineRule="auto"/>
        <w:ind w:left="720"/>
      </w:pPr>
      <w:r/>
      <w:hyperlink r:id="rId12">
        <w:r>
          <w:rPr>
            <w:color w:val="0000EE"/>
            <w:u w:val="single"/>
          </w:rPr>
          <w:t>[3]</w:t>
        </w:r>
      </w:hyperlink>
      <w:r>
        <w:t xml:space="preserve"> (arXiv:2001.04536) - Paragraph 3, Paragraph 4, Paragraph 8 </w:t>
      </w:r>
      <w:r/>
    </w:p>
    <w:p>
      <w:pPr>
        <w:pStyle w:val="ListBullet"/>
        <w:spacing w:line="240" w:lineRule="auto"/>
        <w:ind w:left="720"/>
      </w:pPr>
      <w:r/>
      <w:hyperlink r:id="rId11">
        <w:r>
          <w:rPr>
            <w:color w:val="0000EE"/>
            <w:u w:val="single"/>
          </w:rPr>
          <w:t>[4]</w:t>
        </w:r>
      </w:hyperlink>
      <w:r>
        <w:t xml:space="preserve"> (arXiv:2508.20941) - Paragraph 2, Paragraph 5 </w:t>
      </w:r>
      <w:r/>
    </w:p>
    <w:p>
      <w:pPr>
        <w:pStyle w:val="ListBullet"/>
        <w:spacing w:line="240" w:lineRule="auto"/>
        <w:ind w:left="720"/>
      </w:pPr>
      <w:r/>
      <w:hyperlink r:id="rId14">
        <w:r>
          <w:rPr>
            <w:color w:val="0000EE"/>
            <w:u w:val="single"/>
          </w:rPr>
          <w:t>[5]</w:t>
        </w:r>
      </w:hyperlink>
      <w:r>
        <w:t xml:space="preserve"> (arXiv:2311.08166) - Paragraph 5, Paragraph 8 </w:t>
      </w:r>
      <w:r/>
    </w:p>
    <w:p>
      <w:pPr>
        <w:pStyle w:val="ListBullet"/>
        <w:spacing w:line="240" w:lineRule="auto"/>
        <w:ind w:left="720"/>
      </w:pPr>
      <w:r/>
      <w:hyperlink r:id="rId13">
        <w:r>
          <w:rPr>
            <w:color w:val="0000EE"/>
            <w:u w:val="single"/>
          </w:rPr>
          <w:t>[6]</w:t>
        </w:r>
      </w:hyperlink>
      <w:r>
        <w:t xml:space="preserve"> (ML4PhysicalSciences NeurIPS 2025 paper) - Paragraph 4, Paragraph 6, Paragraph 8 </w:t>
      </w:r>
      <w:r/>
    </w:p>
    <w:p>
      <w:pPr>
        <w:pStyle w:val="ListBullet"/>
        <w:spacing w:line="240" w:lineRule="auto"/>
        <w:ind w:left="720"/>
      </w:pPr>
      <w:r/>
      <w:hyperlink r:id="rId15">
        <w:r>
          <w:rPr>
            <w:color w:val="0000EE"/>
            <w:u w:val="single"/>
          </w:rPr>
          <w:t>[7]</w:t>
        </w:r>
      </w:hyperlink>
      <w:r>
        <w:t xml:space="preserve"> (Phys.org report on PINO) - Paragraph 6,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https://quantumzeitgeist.com/ai-progress-depends-physics-not-just-trillions-parameters/</w:t>
        </w:r>
      </w:hyperlink>
      <w:r>
        <w:t xml:space="preserve"> - Please view link - unable to able to access data</w:t>
      </w:r>
      <w:r/>
    </w:p>
    <w:p>
      <w:pPr>
        <w:pStyle w:val="ListNumber"/>
        <w:spacing w:line="240" w:lineRule="auto"/>
        <w:ind w:left="720"/>
      </w:pPr>
      <w:r/>
      <w:hyperlink r:id="rId10">
        <w:r>
          <w:rPr>
            <w:color w:val="0000EE"/>
            <w:u w:val="single"/>
          </w:rPr>
          <w:t>https://arxiv.org/abs/2512.16344</w:t>
        </w:r>
      </w:hyperlink>
      <w:r>
        <w:t xml:space="preserve"> - In this paper, Peter Coveney and Roger Highfield argue that while artificial intelligence (AI) has been portrayed as transformative, its measurable impact remains modest outside a few high-profile successes. They suggest that current AI architectures, such as large language models, often rely on vast numbers of parameters without providing genuine understanding or capturing fundamental scientific principles. The authors propose a new approach termed 'Big AI', which integrates established theoretical frameworks with the adaptability of machine learning to create more robust and insightful artificial intelligence systems.</w:t>
      </w:r>
      <w:r/>
    </w:p>
    <w:p>
      <w:pPr>
        <w:pStyle w:val="ListNumber"/>
        <w:spacing w:line="240" w:lineRule="auto"/>
        <w:ind w:left="720"/>
      </w:pPr>
      <w:r/>
      <w:hyperlink r:id="rId12">
        <w:r>
          <w:rPr>
            <w:color w:val="0000EE"/>
            <w:u w:val="single"/>
          </w:rPr>
          <w:t>https://arxiv.org/abs/2001.04536</w:t>
        </w:r>
      </w:hyperlink>
      <w:r>
        <w:t xml:space="preserve"> - This study examines the effectiveness of physics-informed neural networks (PINNs) in predicting outcomes of physical systems and discovering hidden physics from noisy data. The authors identify a fundamental mode of failure related to numerical stiffness leading to unbalanced back-propagated gradients during model training. To address this limitation, they present a learning rate annealing algorithm that utilizes gradient statistics during model training to balance the interplay between different terms in composite loss functions. They also propose a novel neural network architecture that is more resilient to such gradient pathologies, improving the predictive accuracy of PINNs by a factor of 50-100x across a range of problems in computational physics.</w:t>
      </w:r>
      <w:r/>
    </w:p>
    <w:p>
      <w:pPr>
        <w:pStyle w:val="ListNumber"/>
        <w:spacing w:line="240" w:lineRule="auto"/>
        <w:ind w:left="720"/>
      </w:pPr>
      <w:r/>
      <w:hyperlink r:id="rId11">
        <w:r>
          <w:rPr>
            <w:color w:val="0000EE"/>
            <w:u w:val="single"/>
          </w:rPr>
          <w:t>https://arxiv.org/abs/2508.20941</w:t>
        </w:r>
      </w:hyperlink>
      <w:r>
        <w:t xml:space="preserve"> - This research evaluates the reliability of reasoning models, a new generation of large language models capable of complex problem-solving, in solving introductory physics problems. The study involved assessing a sample of solutions generated by OpenAI's o3-mini model for each problem from 20 chapters of a standard undergraduate textbook. The model successfully solved 94% of the problems posed, excelling at the beginning topics in mechanics but struggling with later ones such as waves and thermodynamics. This highlights the challenges AI models face in generalizing fundamental physical laws and principles.</w:t>
      </w:r>
      <w:r/>
    </w:p>
    <w:p>
      <w:pPr>
        <w:pStyle w:val="ListNumber"/>
        <w:spacing w:line="240" w:lineRule="auto"/>
        <w:ind w:left="720"/>
      </w:pPr>
      <w:r/>
      <w:hyperlink r:id="rId14">
        <w:r>
          <w:rPr>
            <w:color w:val="0000EE"/>
            <w:u w:val="single"/>
          </w:rPr>
          <w:t>https://arxiv.org/abs/2311.08166</w:t>
        </w:r>
      </w:hyperlink>
      <w:r>
        <w:t xml:space="preserve"> - The authors introduce MechAgents, a framework where multiple large language models collaborate to solve mechanics problems, generate new data, and integrate knowledge. This approach leverages the diverse capabilities of multiple dynamically interacting large language models to overcome the limitations of conventional approaches. The study demonstrates that a set of AI agents can effectively write, execute, and self-correct code to apply finite element methods to solve classical elasticity problems in various scenarios. For more complex tasks, a larger group of agents with enhanced division of labor among planning, formulating, coding, executing, and criticizing the process and results is constructed. The agents mutually correct each other to improve overall performance in understanding, formulating, and validating the solution.</w:t>
      </w:r>
      <w:r/>
    </w:p>
    <w:p>
      <w:pPr>
        <w:pStyle w:val="ListNumber"/>
        <w:spacing w:line="240" w:lineRule="auto"/>
        <w:ind w:left="720"/>
      </w:pPr>
      <w:r/>
      <w:hyperlink r:id="rId13">
        <w:r>
          <w:rPr>
            <w:color w:val="0000EE"/>
            <w:u w:val="single"/>
          </w:rPr>
          <w:t>https://ml4physicalsciences.github.io/2025/files/NeurIPS_ML4PS_2025_120.pdf</w:t>
        </w:r>
      </w:hyperlink>
      <w:r>
        <w:t xml:space="preserve"> - This paper discusses the limitations of traditional machine learning models in modeling complex systems and introduces physics-informed neural networks (PINNs) as a solution. PINNs generalize the concept of basis function expansions by learning flexible and adaptive basis functions directly from data while embedding physical constraints into the training objective. By constraining the hypothesis space to physically consistent functions, PINNs reduce the required parameter count and improve generalization compared to purely empirical networks. The study highlights the effectiveness of PINNs in reconstructing gravitational fields of terrestrial objects with high accuracy and robust extrapolation, demonstrating their potential in modeling complex systems.</w:t>
      </w:r>
      <w:r/>
    </w:p>
    <w:p>
      <w:pPr>
        <w:pStyle w:val="ListNumber"/>
        <w:spacing w:line="240" w:lineRule="auto"/>
        <w:ind w:left="720"/>
      </w:pPr>
      <w:r/>
      <w:hyperlink r:id="rId15">
        <w:r>
          <w:rPr>
            <w:color w:val="0000EE"/>
            <w:u w:val="single"/>
          </w:rPr>
          <w:t>https://phys.org/news/2025-10-physics-ai-excels-large-scale.pdf</w:t>
        </w:r>
      </w:hyperlink>
      <w:r>
        <w:t xml:space="preserve"> - Researchers have introduced a Physics-Informed Neural Operator (PINO), an AI model that understands the physical laws of nature, and demonstrated its ability to generalize to previously unseen materials without requiring retraining. After training the system on 20 materials, they tested it on 60 entirely new materials, and in all cases, it predicted their properties with high accuracy. This breakthrough points to a future where large-scale, high-speed screening of countless candidate materials becomes possible. The study emphasizes the importance of integrating physical laws with AI to improve experimental efficiency while preserving reliability.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uantumzeitgeist.com/ai-progress-depends-physics-not-just-trillions-parameters/" TargetMode="External"/><Relationship Id="rId10" Type="http://schemas.openxmlformats.org/officeDocument/2006/relationships/hyperlink" Target="https://arxiv.org/abs/2512.16344" TargetMode="External"/><Relationship Id="rId11" Type="http://schemas.openxmlformats.org/officeDocument/2006/relationships/hyperlink" Target="https://arxiv.org/abs/2508.20941" TargetMode="External"/><Relationship Id="rId12" Type="http://schemas.openxmlformats.org/officeDocument/2006/relationships/hyperlink" Target="https://arxiv.org/abs/2001.04536" TargetMode="External"/><Relationship Id="rId13" Type="http://schemas.openxmlformats.org/officeDocument/2006/relationships/hyperlink" Target="https://ml4physicalsciences.github.io/2025/files/NeurIPS_ML4PS_2025_120.pdf" TargetMode="External"/><Relationship Id="rId14" Type="http://schemas.openxmlformats.org/officeDocument/2006/relationships/hyperlink" Target="https://arxiv.org/abs/2311.08166" TargetMode="External"/><Relationship Id="rId15" Type="http://schemas.openxmlformats.org/officeDocument/2006/relationships/hyperlink" Target="https://phys.org/news/2025-10-physics-ai-excels-large-scale.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