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moves to secure global lead in tokenised finance amid regulatory and market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United Kingdom’s financial authorities are moving swiftly to convert a strategic welcome for digital assets into concrete market advantage, even as regulators stress caution. Recent statements from HM Treasury and the Financial Conduct Authority, combined with fresh data from the Bank of England and the Bank for International Settlements, underline both the scale of opportunity and the policy trade-offs that will shape London’s bid to remain a global capital markets leader.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According to a joint statement from the Treasury and the Chancellor, the government intends to back cryptoasset firms to innovate and grow in the UK under a framework expected to be implemented by 2027. The announcement has been met with measured industry approval, with firms such as Quant welcoming “technology-neutral regulation that enables responsible innovation,” and senior industry figures signalling renewed appetite to build in London. </w:t>
      </w:r>
      <w:hyperlink r:id="rId9">
        <w:r>
          <w:rPr>
            <w:color w:val="0000EE"/>
            <w:u w:val="single"/>
          </w:rPr>
          <w:t>[1]</w:t>
        </w:r>
      </w:hyperlink>
      <w:r/>
    </w:p>
    <w:p>
      <w:r/>
      <w:r>
        <w:t xml:space="preserve">The transatlantic policy architecture is also strengthening. In September 2025 the UK and the United States established the Transatlantic Taskforce for Markets of the Future to deliver recommendations to both finance ministries within 180 days on collaboration in capital markets, digital assets and wholesale market innovation, including short-to-medium term ties and longer-term infrastructure links. The taskforce is explicitly charged with exploring how to boost growth and competitiveness across linked capital markets. </w:t>
      </w:r>
      <w:hyperlink r:id="rId10">
        <w:r>
          <w:rPr>
            <w:color w:val="0000EE"/>
            <w:u w:val="single"/>
          </w:rPr>
          <w:t>[2]</w:t>
        </w:r>
      </w:hyperlink>
      <w:r/>
    </w:p>
    <w:p>
      <w:r/>
      <w:r>
        <w:t xml:space="preserve">Market data help explain the urgency. The Bank of England, coordinating with the BIS, reported that average daily turnover in the UK foreign exchange market rose to $4,745 billion in April 2025 from $3,735 billion in April 2022, leaving the UK as the world’s largest FX centre with a 37.8% share of global turnover. The same triennial survey showed OTC interest rate derivatives activity in the UK climbed to $4,320 billion daily, accounting for 49.6% of global turnover in that segment. These volumes frame the scale of potential efficiencies from tokenisation and faster settlement. </w:t>
      </w:r>
      <w:hyperlink r:id="rId11">
        <w:r>
          <w:rPr>
            <w:color w:val="0000EE"/>
            <w:u w:val="single"/>
          </w:rPr>
          <w:t>[3]</w:t>
        </w:r>
      </w:hyperlink>
      <w:hyperlink r:id="rId12">
        <w:r>
          <w:rPr>
            <w:color w:val="0000EE"/>
            <w:u w:val="single"/>
          </w:rPr>
          <w:t>[6]</w:t>
        </w:r>
      </w:hyperlink>
      <w:hyperlink r:id="rId13">
        <w:r>
          <w:rPr>
            <w:color w:val="0000EE"/>
            <w:u w:val="single"/>
          </w:rPr>
          <w:t>[7]</w:t>
        </w:r>
      </w:hyperlink>
      <w:r/>
    </w:p>
    <w:p>
      <w:r/>
      <w:r>
        <w:t xml:space="preserve">Industry estimates cited by observers and regulators point to very large potential savings: by enabling instant settlement, reducing intermediation and allowing programmable collateral, tokenised money and stablecoins could release efficiencies in the range of £15–30 billion annually. That figure underpins the argument that London risks ceding value to rival hubs , New York, Singapore, the UAE and Frankfurt , unless it adopts tokenisation and market infrastructure reforms quickly. </w:t>
      </w:r>
      <w:hyperlink r:id="rId9">
        <w:r>
          <w:rPr>
            <w:color w:val="0000EE"/>
            <w:u w:val="single"/>
          </w:rPr>
          <w:t>[1]</w:t>
        </w:r>
      </w:hyperlink>
      <w:hyperlink r:id="rId11">
        <w:r>
          <w:rPr>
            <w:color w:val="0000EE"/>
            <w:u w:val="single"/>
          </w:rPr>
          <w:t>[3]</w:t>
        </w:r>
      </w:hyperlink>
      <w:r/>
    </w:p>
    <w:p>
      <w:r/>
      <w:r>
        <w:t xml:space="preserve">Practical settlement benefits are already visible in operational disclosures. CLS, the specialist settlement system, reminded market participants that “most FX payment instructions in CLSSettlement settle according to the market convention of two days after execution of the underlying trade (T+2), with a smaller portion settling the next day (T+1) and only a very small number settling on the same day (T+0).” CLS currently settles an average daily value of over $7 trillion and requires prefunding that locks roughly $66 billion each business day under the T+2 cycle; blockchain-enabled instant settlement could dramatically reduce that prefunding need, though it would also create new liquidity-management challenges. </w:t>
      </w:r>
      <w:hyperlink r:id="rId9">
        <w:r>
          <w:rPr>
            <w:color w:val="0000EE"/>
            <w:u w:val="single"/>
          </w:rPr>
          <w:t>[1]</w:t>
        </w:r>
      </w:hyperlink>
      <w:r/>
    </w:p>
    <w:p>
      <w:r/>
      <w:r>
        <w:t xml:space="preserve">Regulatory sequencing matters. The FCA has published a multi-year roadmap and a fresh set of consultation papers this month as it moves to finalise rules for stablecoin issuers, trading platforms, intermediation, lending and staking, and a prudential sourcebook covering capital and liquidity. FCA chief executive Nikhil Rathi has signalled an intention to “finalise the digital assets rules and progress UK-issued stablecoins” in 2026, while FCA officials stress they seek a regime that “protects consumers, supports innovation and promotes trust.” At the same time, the FCA’s historically strict authorisation record , rejection rates of a large majority of applicants in recent years , remains part of the debate about how open the UK will be in practice. </w:t>
      </w:r>
      <w:hyperlink r:id="rId9">
        <w:r>
          <w:rPr>
            <w:color w:val="0000EE"/>
            <w:u w:val="single"/>
          </w:rPr>
          <w:t>[1]</w:t>
        </w:r>
      </w:hyperlink>
      <w:r/>
    </w:p>
    <w:p>
      <w:r/>
      <w:r>
        <w:t xml:space="preserve">Policy design will also need to accommodate existing public assets and contingency risks. The UK’s sizeable holding of seized bitcoin , reported at 61,245 BTC , has prompted questions about whether government reserves should be used strategically; the Treasury has confirmed it has no plans to create a strategic bitcoin reserve. Separately, the Bank of England continues to work through the design phase of a digital pound but has not decided whether to introduce one, highlighting that policy-makers are weighing stablecoins, CBDCs and regulated private money in parallel. </w:t>
      </w:r>
      <w:hyperlink r:id="rId9">
        <w:r>
          <w:rPr>
            <w:color w:val="0000EE"/>
            <w:u w:val="single"/>
          </w:rPr>
          <w:t>[1]</w:t>
        </w:r>
      </w:hyperlink>
      <w:r/>
    </w:p>
    <w:p>
      <w:r/>
      <w:r>
        <w:t xml:space="preserve">The balance that emerges will determine whether London captures parts of the £9 trillion of combined daily FX and OTC flow, and the estimated multi‑billion savings from faster, tokenised settlement. Government and regulator coordination , now formalised with transatlantic and domestic policy workstreams , increases the odds that Britain will shape standards rather than follow them, but success will depend on regulatory clarity, operational readiness from market infrastructure providers, and firms’ ability to manage new liquidity and custody risks as markets evolve.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(Disruption Banking) - Paragraph 1, Paragraph 2, Paragraph 5, Paragraph 6, Paragraph 7, Paragraph 8, Paragraph 9</w:t>
      </w:r>
      <w:r/>
    </w:p>
    <w:p>
      <w:pPr>
        <w:pStyle w:val="ListBullet"/>
        <w:spacing w:line="240" w:lineRule="auto"/>
        <w:ind w:left="720"/>
      </w:pPr>
      <w:r/>
      <w:hyperlink r:id="rId10">
        <w:r>
          <w:rPr>
            <w:color w:val="0000EE"/>
            <w:u w:val="single"/>
          </w:rPr>
          <w:t>[2]</w:t>
        </w:r>
      </w:hyperlink>
      <w:r>
        <w:t xml:space="preserve"> (U.S. Treasury) - Paragraph 3, Paragraph 9</w:t>
      </w:r>
      <w:r/>
    </w:p>
    <w:p>
      <w:pPr>
        <w:pStyle w:val="ListBullet"/>
        <w:spacing w:line="240" w:lineRule="auto"/>
        <w:ind w:left="720"/>
      </w:pPr>
      <w:r/>
      <w:hyperlink r:id="rId11">
        <w:r>
          <w:rPr>
            <w:color w:val="0000EE"/>
            <w:u w:val="single"/>
          </w:rPr>
          <w:t>[3]</w:t>
        </w:r>
      </w:hyperlink>
      <w:r>
        <w:t xml:space="preserve"> (Bank of England/BIS triennial survey) - Paragraph 4, Paragraph 5, Paragraph 9</w:t>
      </w:r>
      <w:r/>
    </w:p>
    <w:p>
      <w:pPr>
        <w:pStyle w:val="ListBullet"/>
        <w:spacing w:line="240" w:lineRule="auto"/>
        <w:ind w:left="720"/>
      </w:pPr>
      <w:r/>
      <w:hyperlink r:id="rId12">
        <w:r>
          <w:rPr>
            <w:color w:val="0000EE"/>
            <w:u w:val="single"/>
          </w:rPr>
          <w:t>[6]</w:t>
        </w:r>
      </w:hyperlink>
      <w:r>
        <w:t xml:space="preserve"> (Bank of England summary of UK survey results 2025) - Paragraph 4, Paragraph 9</w:t>
      </w:r>
      <w:r/>
    </w:p>
    <w:p>
      <w:pPr>
        <w:pStyle w:val="ListBullet"/>
        <w:spacing w:line="240" w:lineRule="auto"/>
        <w:ind w:left="720"/>
      </w:pPr>
      <w:r/>
      <w:hyperlink r:id="rId13">
        <w:r>
          <w:rPr>
            <w:color w:val="0000EE"/>
            <w:u w:val="single"/>
          </w:rPr>
          <w:t>[7]</w:t>
        </w:r>
      </w:hyperlink>
      <w:r>
        <w:t xml:space="preserve"> (BIS triennial survey global report) - Paragraph 4</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https://www.disruptionbanking.com/2025/12/20/the-disruptive-rise-of-stablecoins-and-tokenized-money-a-high-stakes-race-for-uk-bankers/</w:t>
        </w:r>
      </w:hyperlink>
      <w:r>
        <w:t xml:space="preserve"> - Please view link - unable to able to access data</w:t>
      </w:r>
      <w:r/>
    </w:p>
    <w:p>
      <w:pPr>
        <w:pStyle w:val="ListNumber"/>
        <w:spacing w:line="240" w:lineRule="auto"/>
        <w:ind w:left="720"/>
      </w:pPr>
      <w:r/>
      <w:hyperlink r:id="rId10">
        <w:r>
          <w:rPr>
            <w:color w:val="0000EE"/>
            <w:u w:val="single"/>
          </w:rPr>
          <w:t>https://home.treasury.gov/news/press-releases/sb0256</w:t>
        </w:r>
      </w:hyperlink>
      <w:r>
        <w:t xml:space="preserve"> - In September 2025, the UK and US established the Transatlantic Taskforce for Markets of the Future. This initiative aims to enhance collaboration on capital markets, digital assets, and other innovative financial activities. The taskforce is tasked with reporting recommendations to both finance ministries, via the UK-US Financial Regulatory Working Group, within 180 days. It will explore options for short-to-medium term collaboration on digital assets and long-term opportunities for wholesale digital markets innovation, as well as ways to improve links between capital markets to boost growth and competitiveness.</w:t>
      </w:r>
      <w:r/>
    </w:p>
    <w:p>
      <w:pPr>
        <w:pStyle w:val="ListNumber"/>
        <w:spacing w:line="240" w:lineRule="auto"/>
        <w:ind w:left="720"/>
      </w:pPr>
      <w:r/>
      <w:hyperlink r:id="rId11">
        <w:r>
          <w:rPr>
            <w:color w:val="0000EE"/>
            <w:u w:val="single"/>
          </w:rPr>
          <w:t>https://www.bankofengland.co.uk/news/2025/september/bis-triennial-survey-of-foreign-exchange-and-over-the-counter-interest-rate-derivatives-markets</w:t>
        </w:r>
      </w:hyperlink>
      <w:r>
        <w:t xml:space="preserve"> - In April 2025, the Bank of England, in coordination with the Bank for International Settlements (BIS), conducted a triennial survey of the UK's foreign exchange and over-the-counter (OTC) interest rate derivatives markets. The survey revealed that average daily turnover in the UK foreign exchange market was $4,745 billion, up from $3,735 billion in April 2022. The UK maintained its position as the largest centre for foreign exchange activity, holding a 37.8% share of global turnover. Additionally, average daily turnover in OTC interest rate derivatives increased to $4,320 billion from $2,359 billion in April 2022, with the UK market accounting for 49.6% of global turnover in this sector.</w:t>
      </w:r>
      <w:r/>
    </w:p>
    <w:p>
      <w:pPr>
        <w:pStyle w:val="ListNumber"/>
        <w:spacing w:line="240" w:lineRule="auto"/>
        <w:ind w:left="720"/>
      </w:pPr>
      <w:r/>
      <w:hyperlink r:id="rId15">
        <w:r>
          <w:rPr>
            <w:color w:val="0000EE"/>
            <w:u w:val="single"/>
          </w:rPr>
          <w:t>https://www.bankofengland.co.uk/markets/london-foreign-exchange-joint-standing-committee/results-of-the-semi-annual-fx-turnover-survey-april-2025</w:t>
        </w:r>
      </w:hyperlink>
      <w:r>
        <w:t xml:space="preserve"> - In April 2025, 25 financial institutions active in the UK foreign exchange market participated in the semi-annual turnover survey for the Foreign Exchange Joint Standing Committee (FXJSC). The survey provided insights into the trading volumes and activities within the UK's foreign exchange market, contributing to the broader understanding of market dynamics and trends.</w:t>
      </w:r>
      <w:r/>
    </w:p>
    <w:p>
      <w:pPr>
        <w:pStyle w:val="ListNumber"/>
        <w:spacing w:line="240" w:lineRule="auto"/>
        <w:ind w:left="720"/>
      </w:pPr>
      <w:r/>
      <w:hyperlink r:id="rId16">
        <w:r>
          <w:rPr>
            <w:color w:val="0000EE"/>
            <w:u w:val="single"/>
          </w:rPr>
          <w:t>https://www.bankofengland.co.uk/statistics/bis-survey/2025</w:t>
        </w:r>
      </w:hyperlink>
      <w:r>
        <w:t xml:space="preserve"> - The Bank of England conducts a triennial survey on the turnover in the markets for foreign exchange and over-the-counter (OTC) interest rate derivatives every three years. The 2025 survey, coordinated with the Bank for International Settlements (BIS), aims to obtain comprehensive and internationally consistent information on the size and structure of these global markets. The results provide valuable insights into market trends and developments.</w:t>
      </w:r>
      <w:r/>
    </w:p>
    <w:p>
      <w:pPr>
        <w:pStyle w:val="ListNumber"/>
        <w:spacing w:line="240" w:lineRule="auto"/>
        <w:ind w:left="720"/>
      </w:pPr>
      <w:r/>
      <w:hyperlink r:id="rId12">
        <w:r>
          <w:rPr>
            <w:color w:val="0000EE"/>
            <w:u w:val="single"/>
          </w:rPr>
          <w:t>https://www.bankofengland.co.uk/statistics/bis-survey/2025/summary-of-uk-survey-results-2025.pdf</w:t>
        </w:r>
      </w:hyperlink>
      <w:r>
        <w:t xml:space="preserve"> - The Bank of England published a summary of the UK survey results from the 2025 Triennial Central Bank Survey of Foreign Exchange and Over-the-Counter Interest Rate Derivatives Markets. The document provides detailed insights into the UK's foreign exchange and OTC interest rate derivatives markets, including turnover data and market share information, contributing to a comprehensive understanding of the UK's position in these global markets.</w:t>
      </w:r>
      <w:r/>
    </w:p>
    <w:p>
      <w:pPr>
        <w:pStyle w:val="ListNumber"/>
        <w:spacing w:line="240" w:lineRule="auto"/>
        <w:ind w:left="720"/>
      </w:pPr>
      <w:r/>
      <w:hyperlink r:id="rId13">
        <w:r>
          <w:rPr>
            <w:color w:val="0000EE"/>
            <w:u w:val="single"/>
          </w:rPr>
          <w:t>https://www.bis.org/statistics/rpfx25_fx.pdf</w:t>
        </w:r>
      </w:hyperlink>
      <w:r>
        <w:t xml:space="preserve"> - The Bank for International Settlements (BIS) released the 2025 Triennial Central Bank Survey, detailing turnover in foreign exchange and over-the-counter (OTC) derivatives markets. The survey highlights a 28% increase in daily turnover, averaging $9.6 trillion in April 2025, compared to $7.5 trillion in 2022. It also provides insights into the share of spot and outright forwards in the FX market, reflecting shifts in trading activities and instruments.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sruptionbanking.com/2025/12/20/the-disruptive-rise-of-stablecoins-and-tokenized-money-a-high-stakes-race-for-uk-bankers/" TargetMode="External"/><Relationship Id="rId10" Type="http://schemas.openxmlformats.org/officeDocument/2006/relationships/hyperlink" Target="https://home.treasury.gov/news/press-releases/sb0256" TargetMode="External"/><Relationship Id="rId11" Type="http://schemas.openxmlformats.org/officeDocument/2006/relationships/hyperlink" Target="https://www.bankofengland.co.uk/news/2025/september/bis-triennial-survey-of-foreign-exchange-and-over-the-counter-interest-rate-derivatives-markets" TargetMode="External"/><Relationship Id="rId12" Type="http://schemas.openxmlformats.org/officeDocument/2006/relationships/hyperlink" Target="https://www.bankofengland.co.uk/statistics/bis-survey/2025/summary-of-uk-survey-results-2025.pdf" TargetMode="External"/><Relationship Id="rId13" Type="http://schemas.openxmlformats.org/officeDocument/2006/relationships/hyperlink" Target="https://www.bis.org/statistics/rpfx25_fx.pdf" TargetMode="External"/><Relationship Id="rId14" Type="http://schemas.openxmlformats.org/officeDocument/2006/relationships/hyperlink" Target="https://www.noahwire.com" TargetMode="External"/><Relationship Id="rId15" Type="http://schemas.openxmlformats.org/officeDocument/2006/relationships/hyperlink" Target="https://www.bankofengland.co.uk/markets/london-foreign-exchange-joint-standing-committee/results-of-the-semi-annual-fx-turnover-survey-april-2025" TargetMode="External"/><Relationship Id="rId16" Type="http://schemas.openxmlformats.org/officeDocument/2006/relationships/hyperlink" Target="https://www.bankofengland.co.uk/statistics/bis-surve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