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Wealth preservation strategies: how the top 1% safeguard their fortunes amid volatility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Building and preserving wealth are related but distinct endeavours; creating a fortune often happens in concentrated bursts, a sale, a liquidity event, a career windfall, whereas protecting that capital is a slower, process-driven exercise aimed at minimising forced errors and preserving optionality over cycles. According to the lead analysis, the wealthy design financial lives to reduce the probability of ruin while preserving upside, with three repeating pillars: robust liquidity, long-term diversified investing, and disciplined avoidance of high-cost debt. </w:t>
      </w:r>
      <w:hyperlink r:id="rId9">
        <w:r>
          <w:rPr>
            <w:color w:val="0000EE"/>
            <w:u w:val="single"/>
          </w:rPr>
          <w:t>[1]</w:t>
        </w:r>
      </w:hyperlink>
      <w:hyperlink r:id="rId9">
        <w:r>
          <w:rPr>
            <w:color w:val="0000EE"/>
            <w:u w:val="single"/>
          </w:rPr>
          <w:t>[2]</w:t>
        </w:r>
      </w:hyperlink>
      <w:r/>
    </w:p>
    <w:p>
      <w:r/>
      <w:r>
        <w:t xml:space="preserve">Liquidity is treated as the first line of defence because the real danger is not market volatility per se but being forced to sell at the worst possible time to meet obligations. Industry commentary from a C-suite perspective emphasises liquidity reserves as a shock absorber for unexpected costs or revenue dips, noting that the ability to fund short-term needs without unwinding strategic positions preserves long-term compounding. </w:t>
      </w:r>
      <w:hyperlink r:id="rId9">
        <w:r>
          <w:rPr>
            <w:color w:val="0000EE"/>
            <w:u w:val="single"/>
          </w:rPr>
          <w:t>[1]</w:t>
        </w:r>
      </w:hyperlink>
      <w:hyperlink r:id="rId10">
        <w:r>
          <w:rPr>
            <w:color w:val="0000EE"/>
            <w:u w:val="single"/>
          </w:rPr>
          <w:t>[4]</w:t>
        </w:r>
      </w:hyperlink>
      <w:r/>
    </w:p>
    <w:p>
      <w:r/>
      <w:r>
        <w:t xml:space="preserve">For wealthy households, the concept of emergency reserves scales up but remains the same: hold enough near-cash to cover personal burn rates, capital calls, and tactical flexibility so core holdings need not be liquidated during stress. Practical placements include high-yield savings, Treasury bills, money-market funds and short-duration instruments that preserve capital while offering modest returns and psychological breathing room for advisers and principals. </w:t>
      </w:r>
      <w:hyperlink r:id="rId9">
        <w:r>
          <w:rPr>
            <w:color w:val="0000EE"/>
            <w:u w:val="single"/>
          </w:rPr>
          <w:t>[1]</w:t>
        </w:r>
      </w:hyperlink>
      <w:hyperlink r:id="rId9">
        <w:r>
          <w:rPr>
            <w:color w:val="0000EE"/>
            <w:u w:val="single"/>
          </w:rPr>
          <w:t>[2]</w:t>
        </w:r>
      </w:hyperlink>
      <w:hyperlink r:id="rId10">
        <w:r>
          <w:rPr>
            <w:color w:val="0000EE"/>
            <w:u w:val="single"/>
          </w:rPr>
          <w:t>[4]</w:t>
        </w:r>
      </w:hyperlink>
      <w:r/>
    </w:p>
    <w:p>
      <w:r/>
      <w:r>
        <w:t xml:space="preserve">How much cash do the wealthiest actually hold? Research shows HNWIs often maintain meaningful cash allocations; a recent examination put typical holdings at about 15% of portfolios in cash or cash equivalents. That level is higher than for average households and illustrates liquidity’s dual role as insurance and optionality for opportunistic purchases during downturns. </w:t>
      </w:r>
      <w:hyperlink r:id="rId11">
        <w:r>
          <w:rPr>
            <w:color w:val="0000EE"/>
            <w:u w:val="single"/>
          </w:rPr>
          <w:t>[3]</w:t>
        </w:r>
      </w:hyperlink>
      <w:r/>
    </w:p>
    <w:p>
      <w:r/>
      <w:r>
        <w:t xml:space="preserve">The second pillar is a patient, long-horizon approach to investing. Time in the market, not timing the market, underpins enduring wealth: broad equity exposure, private markets and high-quality real assets are treated as multi-decade anchors that accept volatility as the price of compounding. Wealth managers and family offices commonly allocate portions of capital to growth-oriented strategies precisely because sustained returns over 20–50 years overwhelm short-term noise. </w:t>
      </w:r>
      <w:hyperlink r:id="rId9">
        <w:r>
          <w:rPr>
            <w:color w:val="0000EE"/>
            <w:u w:val="single"/>
          </w:rPr>
          <w:t>[1]</w:t>
        </w:r>
      </w:hyperlink>
      <w:hyperlink r:id="rId12">
        <w:r>
          <w:rPr>
            <w:color w:val="0000EE"/>
            <w:u w:val="single"/>
          </w:rPr>
          <w:t>[6]</w:t>
        </w:r>
      </w:hyperlink>
      <w:r/>
    </w:p>
    <w:p>
      <w:r/>
      <w:r>
        <w:t xml:space="preserve">Diversification is framed as risk containment rather than return dilution. Even fortunes that begin concentrated, by business, sector or country, are typically diversified over time across public equities, private investments, real estate and specialised alternatives to ensure no single event is existential. For many HNWIs that means selective exposure to private equity, venture and real assets alongside indexed public-market allocations to capture market-level returns efficiently. </w:t>
      </w:r>
      <w:hyperlink r:id="rId9">
        <w:r>
          <w:rPr>
            <w:color w:val="0000EE"/>
            <w:u w:val="single"/>
          </w:rPr>
          <w:t>[1]</w:t>
        </w:r>
      </w:hyperlink>
      <w:hyperlink r:id="rId12">
        <w:r>
          <w:rPr>
            <w:color w:val="0000EE"/>
            <w:u w:val="single"/>
          </w:rPr>
          <w:t>[6]</w:t>
        </w:r>
      </w:hyperlink>
      <w:r/>
    </w:p>
    <w:p>
      <w:r/>
      <w:r>
        <w:t xml:space="preserve">The third pillar is debt discipline. High-cost consumer borrowing is treated as a persistent drain on future wealth; wealthy households avoid or rapidly extinguish double-digit-interest liabilities and use credit cards primarily for rewards and protections, paying balances monthly. When leverage is used, it is usually secured, long-dated and calibrated to survive stressed scenarios rather than amplify them. That distinction, using debt as a strategic tool rather than a habitual funding source, protects compounding capacity. </w:t>
      </w:r>
      <w:hyperlink r:id="rId9">
        <w:r>
          <w:rPr>
            <w:color w:val="0000EE"/>
            <w:u w:val="single"/>
          </w:rPr>
          <w:t>[1]</w:t>
        </w:r>
      </w:hyperlink>
      <w:hyperlink r:id="rId13">
        <w:r>
          <w:rPr>
            <w:color w:val="0000EE"/>
            <w:u w:val="single"/>
          </w:rPr>
          <w:t>[5]</w:t>
        </w:r>
      </w:hyperlink>
      <w:r/>
    </w:p>
    <w:p>
      <w:r/>
      <w:r>
        <w:t xml:space="preserve">Underlying these pillars are systems: automated savings and investment flows, formalised borrowing and liquidity policies, investment committees, family charters and professional advisers. Those structures remove emotion from crisis decision-making, maintain psychological safety and raise decision quality when volatility bites. Corporate risk-management practice similarly recommends stress-testing leverage and diversifying income streams to reduce single-point failures. </w:t>
      </w:r>
      <w:hyperlink r:id="rId9">
        <w:r>
          <w:rPr>
            <w:color w:val="0000EE"/>
            <w:u w:val="single"/>
          </w:rPr>
          <w:t>[1]</w:t>
        </w:r>
      </w:hyperlink>
      <w:hyperlink r:id="rId10">
        <w:r>
          <w:rPr>
            <w:color w:val="0000EE"/>
            <w:u w:val="single"/>
          </w:rPr>
          <w:t>[4]</w:t>
        </w:r>
      </w:hyperlink>
      <w:hyperlink r:id="rId13">
        <w:r>
          <w:rPr>
            <w:color w:val="0000EE"/>
            <w:u w:val="single"/>
          </w:rPr>
          <w:t>[5]</w:t>
        </w:r>
      </w:hyperlink>
      <w:r/>
    </w:p>
    <w:p>
      <w:r/>
      <w:r>
        <w:t xml:space="preserve">The practical implications for executives, founders and family offices are clear: concentration can build wealth; diversification, liquidity and disciplined leverage typically protect it. For policymakers, the mechanics of top-tier resilience, access to secure savings vehicles, diversified investment options and fair credit, offer a template for promoting broader financial stability. Conservatism in practice is echoed by leading investors who urge emphasis on fundamentals, balance-sheet strength and capital discipline as guardrails for both growth and preservation. </w:t>
      </w:r>
      <w:hyperlink r:id="rId9">
        <w:r>
          <w:rPr>
            <w:color w:val="0000EE"/>
            <w:u w:val="single"/>
          </w:rPr>
          <w:t>[1]</w:t>
        </w:r>
      </w:hyperlink>
      <w:hyperlink r:id="rId9">
        <w:r>
          <w:rPr>
            <w:color w:val="0000EE"/>
            <w:u w:val="single"/>
          </w:rPr>
          <w:t>[2]</w:t>
        </w:r>
      </w:hyperlink>
      <w:hyperlink r:id="rId14">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(CEOWorld) - Paragraph 1, Paragraph 2, Paragraph 3, Paragraph 5, Paragraph 6, Paragraph 7, Paragraph 8, Paragraph 9 </w:t>
      </w:r>
      <w:r/>
    </w:p>
    <w:p>
      <w:pPr>
        <w:pStyle w:val="ListBullet"/>
        <w:spacing w:line="240" w:lineRule="auto"/>
        <w:ind w:left="720"/>
      </w:pPr>
      <w:r/>
      <w:hyperlink r:id="rId9">
        <w:r>
          <w:rPr>
            <w:color w:val="0000EE"/>
            <w:u w:val="single"/>
          </w:rPr>
          <w:t>[2]</w:t>
        </w:r>
      </w:hyperlink>
      <w:r>
        <w:t xml:space="preserve"> (CEOWorld summary) - Paragraph 1, Paragraph 9 </w:t>
      </w:r>
      <w:r/>
    </w:p>
    <w:p>
      <w:pPr>
        <w:pStyle w:val="ListBullet"/>
        <w:spacing w:line="240" w:lineRule="auto"/>
        <w:ind w:left="720"/>
      </w:pPr>
      <w:r/>
      <w:hyperlink r:id="rId11">
        <w:r>
          <w:rPr>
            <w:color w:val="0000EE"/>
            <w:u w:val="single"/>
          </w:rPr>
          <w:t>[3]</w:t>
        </w:r>
      </w:hyperlink>
      <w:r>
        <w:t xml:space="preserve"> (CEOWorld: "How Much Cash...") - Paragraph 4 </w:t>
      </w:r>
      <w:r/>
    </w:p>
    <w:p>
      <w:pPr>
        <w:pStyle w:val="ListBullet"/>
        <w:spacing w:line="240" w:lineRule="auto"/>
        <w:ind w:left="720"/>
      </w:pPr>
      <w:r/>
      <w:hyperlink r:id="rId10">
        <w:r>
          <w:rPr>
            <w:color w:val="0000EE"/>
            <w:u w:val="single"/>
          </w:rPr>
          <w:t>[4]</w:t>
        </w:r>
      </w:hyperlink>
      <w:r>
        <w:t xml:space="preserve"> (CEOWorld: C-suite risk management) - Paragraph 2, Paragraph 3, Paragraph 8 </w:t>
      </w:r>
      <w:r/>
    </w:p>
    <w:p>
      <w:pPr>
        <w:pStyle w:val="ListBullet"/>
        <w:spacing w:line="240" w:lineRule="auto"/>
        <w:ind w:left="720"/>
      </w:pPr>
      <w:r/>
      <w:hyperlink r:id="rId13">
        <w:r>
          <w:rPr>
            <w:color w:val="0000EE"/>
            <w:u w:val="single"/>
          </w:rPr>
          <w:t>[5]</w:t>
        </w:r>
      </w:hyperlink>
      <w:r>
        <w:t xml:space="preserve"> (CEOWorld: Living rich vs being wealthy) - Paragraph 7, Paragraph 8 </w:t>
      </w:r>
      <w:r/>
    </w:p>
    <w:p>
      <w:pPr>
        <w:pStyle w:val="ListBullet"/>
        <w:spacing w:line="240" w:lineRule="auto"/>
        <w:ind w:left="720"/>
      </w:pPr>
      <w:r/>
      <w:hyperlink r:id="rId12">
        <w:r>
          <w:rPr>
            <w:color w:val="0000EE"/>
            <w:u w:val="single"/>
          </w:rPr>
          <w:t>[6]</w:t>
        </w:r>
      </w:hyperlink>
      <w:r>
        <w:t xml:space="preserve"> (CEOWorld: How the wealthy manage money) - Paragraph 5, Paragraph 6 </w:t>
      </w:r>
      <w:r/>
    </w:p>
    <w:p>
      <w:pPr>
        <w:pStyle w:val="ListBullet"/>
        <w:spacing w:line="240" w:lineRule="auto"/>
        <w:ind w:left="720"/>
      </w:pPr>
      <w:r/>
      <w:hyperlink r:id="rId14">
        <w:r>
          <w:rPr>
            <w:color w:val="0000EE"/>
            <w:u w:val="single"/>
          </w:rPr>
          <w:t>[7]</w:t>
        </w:r>
      </w:hyperlink>
      <w:r>
        <w:t xml:space="preserve"> (CEOWorld: Leon Cooperman piece) - Paragraph 9</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https://ceoworld.biz/2025/12/19/how-the-1-really-stay-rich-liquidity-discipline-and-intelligent-risk/</w:t>
        </w:r>
      </w:hyperlink>
      <w:r>
        <w:t xml:space="preserve"> - Please view link - unable to able to access data</w:t>
      </w:r>
      <w:r/>
    </w:p>
    <w:p>
      <w:pPr>
        <w:pStyle w:val="ListNumber"/>
        <w:spacing w:line="240" w:lineRule="auto"/>
        <w:ind w:left="720"/>
      </w:pPr>
      <w:r/>
      <w:hyperlink r:id="rId9">
        <w:r>
          <w:rPr>
            <w:color w:val="0000EE"/>
            <w:u w:val="single"/>
          </w:rPr>
          <w:t>https://ceoworld.biz/2025/12/19/how-the-1-really-stay-rich-liquidity-discipline-and-intelligent-risk/</w:t>
        </w:r>
      </w:hyperlink>
      <w:r>
        <w:t xml:space="preserve"> - This article discusses the strategies employed by the top 1% to maintain their wealth, focusing on three key pillars: maintaining robust liquidity reserves, committing to long-term diversified investing, and exercising discipline with high-cost debt. It highlights the importance of liquidity as a buffer against unexpected events, the benefits of long-term investing and diversification, and the need to avoid high-interest consumer debt to preserve wealth.</w:t>
      </w:r>
      <w:r/>
    </w:p>
    <w:p>
      <w:pPr>
        <w:pStyle w:val="ListNumber"/>
        <w:spacing w:line="240" w:lineRule="auto"/>
        <w:ind w:left="720"/>
      </w:pPr>
      <w:r/>
      <w:hyperlink r:id="rId11">
        <w:r>
          <w:rPr>
            <w:color w:val="0000EE"/>
            <w:u w:val="single"/>
          </w:rPr>
          <w:t>https://ceoworld.biz/2025/12/15/how-much-cash-do-the-wealthiest-americans-actually-hold-inside-the-1-million-liquidity-formula/</w:t>
        </w:r>
      </w:hyperlink>
      <w:r>
        <w:t xml:space="preserve"> - This article examines the liquidity strategies of High Net Worth Individuals (HNWIs), revealing that they typically hold about 15% of their portfolios in cash or cash equivalents. It discusses the role of liquidity as a strategic asset, providing flexibility during market downturns and opportunities for opportunistic purchases, and contrasts this with the higher cash holdings of average American households.</w:t>
      </w:r>
      <w:r/>
    </w:p>
    <w:p>
      <w:pPr>
        <w:pStyle w:val="ListNumber"/>
        <w:spacing w:line="240" w:lineRule="auto"/>
        <w:ind w:left="720"/>
      </w:pPr>
      <w:r/>
      <w:hyperlink r:id="rId10">
        <w:r>
          <w:rPr>
            <w:color w:val="0000EE"/>
            <w:u w:val="single"/>
          </w:rPr>
          <w:t>https://ceoworld.biz/2025/12/02/financial-risk-management-strategies-from-a-c-suite-perspective/</w:t>
        </w:r>
      </w:hyperlink>
      <w:r>
        <w:t xml:space="preserve"> - This article outlines financial risk management strategies from a C-suite perspective, emphasizing the importance of maintaining liquidity reserves as a shock absorber against unexpected costs or revenue dips. It also discusses the significance of diversifying income sources to reduce reliance on a single client, product line, or market, thereby enhancing financial resilience.</w:t>
      </w:r>
      <w:r/>
    </w:p>
    <w:p>
      <w:pPr>
        <w:pStyle w:val="ListNumber"/>
        <w:spacing w:line="240" w:lineRule="auto"/>
        <w:ind w:left="720"/>
      </w:pPr>
      <w:r/>
      <w:hyperlink r:id="rId13">
        <w:r>
          <w:rPr>
            <w:color w:val="0000EE"/>
            <w:u w:val="single"/>
          </w:rPr>
          <w:t>https://ceoworld.biz/2025/11/18/living-rich-vs-being-wealthy-misconceptions-that-shape-the-c-suite/</w:t>
        </w:r>
      </w:hyperlink>
      <w:r>
        <w:t xml:space="preserve"> - This article explores common misconceptions about wealth, distinguishing between living rich and being wealthy. It highlights that wealth is measured by assets, not income, and that passive income sources separate the truly wealthy from those merely living rich. The article also discusses how the wealthy often live below their means, with modest homes and budget-conscious habits.</w:t>
      </w:r>
      <w:r/>
    </w:p>
    <w:p>
      <w:pPr>
        <w:pStyle w:val="ListNumber"/>
        <w:spacing w:line="240" w:lineRule="auto"/>
        <w:ind w:left="720"/>
      </w:pPr>
      <w:r/>
      <w:hyperlink r:id="rId12">
        <w:r>
          <w:rPr>
            <w:color w:val="0000EE"/>
            <w:u w:val="single"/>
          </w:rPr>
          <w:t>https://ceoworld.biz/2023/05/02/how-the-wealthy-manage-their-money-differently/</w:t>
        </w:r>
      </w:hyperlink>
      <w:r>
        <w:t xml:space="preserve"> - This article examines how High Net Worth Individuals (HNWIs) manage their money differently, noting their greater appetite for risk and willingness to invest in emerging markets, new technologies, or high-growth sectors. It also highlights that HNWIs allocate a significant portion of their portfolios to alternative investments, such as private equity, hedge funds, and real estate, compared to average investors.</w:t>
      </w:r>
      <w:r/>
    </w:p>
    <w:p>
      <w:pPr>
        <w:pStyle w:val="ListNumber"/>
        <w:spacing w:line="240" w:lineRule="auto"/>
        <w:ind w:left="720"/>
      </w:pPr>
      <w:r/>
      <w:hyperlink r:id="rId14">
        <w:r>
          <w:rPr>
            <w:color w:val="0000EE"/>
            <w:u w:val="single"/>
          </w:rPr>
          <w:t>https://ceoworld.biz/2025/12/06/tariffs-inflation-and-valuations-inside-billionaire-leon-coopermans-conservative-view-on-u-s-markets/</w:t>
        </w:r>
      </w:hyperlink>
      <w:r>
        <w:t xml:space="preserve"> - This article presents billionaire investor Leon Cooperman's conservative view on U.S. markets, discussing his focus on value over hype, emphasizing fundamentals, balance-sheet strength, and capital discipline. It also covers his cautious outlook on the U.S. economy, predicting a period of slow growth coupled with elevated inflation, and his advice for investors to adopt a barbell strategy combining defensive, dividend-paying value stocks with selective growth opportunities.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eoworld.biz/2025/12/19/how-the-1-really-stay-rich-liquidity-discipline-and-intelligent-risk/" TargetMode="External"/><Relationship Id="rId10" Type="http://schemas.openxmlformats.org/officeDocument/2006/relationships/hyperlink" Target="https://ceoworld.biz/2025/12/02/financial-risk-management-strategies-from-a-c-suite-perspective/" TargetMode="External"/><Relationship Id="rId11" Type="http://schemas.openxmlformats.org/officeDocument/2006/relationships/hyperlink" Target="https://ceoworld.biz/2025/12/15/how-much-cash-do-the-wealthiest-americans-actually-hold-inside-the-1-million-liquidity-formula/" TargetMode="External"/><Relationship Id="rId12" Type="http://schemas.openxmlformats.org/officeDocument/2006/relationships/hyperlink" Target="https://ceoworld.biz/2023/05/02/how-the-wealthy-manage-their-money-differently/" TargetMode="External"/><Relationship Id="rId13" Type="http://schemas.openxmlformats.org/officeDocument/2006/relationships/hyperlink" Target="https://ceoworld.biz/2025/11/18/living-rich-vs-being-wealthy-misconceptions-that-shape-the-c-suite/" TargetMode="External"/><Relationship Id="rId14" Type="http://schemas.openxmlformats.org/officeDocument/2006/relationships/hyperlink" Target="https://ceoworld.biz/2025/12/06/tariffs-inflation-and-valuations-inside-billionaire-leon-coopermans-conservative-view-on-u-s-market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