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Advances and challenges in machine‑learning mortality prediction for ICU patients with atrial fibrillation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This rapid review synthesises recent machine‑learning efforts to predict mortality among intensive care unit (ICU) patients with atrial fibrillation (AF) and places those findings in the context of related machine‑learning work in AF and ICU cohorts. According to the Cureus rapid review, three 2024 US studies, all drawing primarily on the MIMIC‑IV database and, in one case, externally validating in the eICU Collaborative Research Database, dominate the current literature on mortality prediction for ICU patients with AF. These studies largely used boosted‑tree and ensemble approaches and reported discrimination ranging from moderate to excellent, but they share consistent gaps in calibration, subgroup fairness assessment, and real‑world deployment.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Ensemble and boosting methods emerged as the most effective modelling strategies in the included ICU AF mortality studies. The Cureus review reports that AdaBoost, LightGBM and stacking ensembles were the principal algorithms, with individual studies selecting AdaBoost or LightGBM as top performers after multi‑algorithm comparisons. In one study a compact 15‑variable AdaBoost model maintained near‑equivalent accuracy to a fuller model, illustrating the feasibility of parsimonious, bedside‑feasible risk tools. These findings align with other published machine‑learning work showing gradient‑boosted approaches frequently outperform simpler models in AF and perioperative settings.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Reported discrimination varied by cohort and outcome horizon, with area under the receiver operating characteristic curve (AUC) values spanning approximately 0.77 to 0.98 across studies. The Cureus review notes that the highest internal AUCs were observed in development datasets, while external or temporal validation reduced but preserved meaningful discriminative performance , underscoring the importance of independent testing to temper optimism from single‑cohort training. Related work outside the three core studies similarly shows strong internal performance for boosted models (for example, an XGBoost model achieving AUCs in the 0.93–0.96 range in a large multicentre analysis), reinforcing that tree‑based ensembles capture informative, nonlinear relationships in AF datasets. </w:t>
      </w:r>
      <w:hyperlink r:id="rId9">
        <w:r>
          <w:rPr>
            <w:color w:val="0000EE"/>
            <w:u w:val="single"/>
          </w:rPr>
          <w:t>[1]</w:t>
        </w:r>
      </w:hyperlink>
      <w:hyperlink r:id="rId12">
        <w:r>
          <w:rPr>
            <w:color w:val="0000EE"/>
            <w:u w:val="single"/>
          </w:rPr>
          <w:t>[4]</w:t>
        </w:r>
      </w:hyperlink>
      <w:r/>
    </w:p>
    <w:p>
      <w:r/>
      <w:r>
        <w:t xml:space="preserve">Despite encouraging discrimination, calibration reporting was consistently poor. The Cureus review emphasises that none of the included studies presented standard quantitative calibration metrics such as calibration slope, intercept or Brier score, and calibration plots were either absent or described qualitatively. This omission prevents assessment of whether predicted probabilities correspond to observed risks , a prerequisite for clinical decision support. The lack of calibration detail is a recurring shortcoming across recent ML‑for‑AF publications and represents a practical barrier to safe deployment. </w:t>
      </w:r>
      <w:hyperlink r:id="rId9">
        <w:r>
          <w:rPr>
            <w:color w:val="0000EE"/>
            <w:u w:val="single"/>
          </w:rPr>
          <w:t>[1]</w:t>
        </w:r>
      </w:hyperlink>
      <w:hyperlink r:id="rId12">
        <w:r>
          <w:rPr>
            <w:color w:val="0000EE"/>
            <w:u w:val="single"/>
          </w:rPr>
          <w:t>[4]</w:t>
        </w:r>
      </w:hyperlink>
      <w:r/>
    </w:p>
    <w:p>
      <w:r/>
      <w:r>
        <w:t xml:space="preserve">Interpretability and clinically actionable predictors were present in the literature but varied in depth. The Cureus review documents use of SHapley Additive exPlanations (SHAP) in at least one study to show feature contributions and highlights glycaemic variability as an influential, actionable predictor in a LightGBM model that predicted 30‑ to 360‑day mortality. Other recurrent high‑importance features included age, routine vital signs, renal and metabolic labs, and established severity scores (APS III, SOFA, SAPS II). The combination of parsimonious variable sets and SHAP‑based explanations supports clinician understanding but does not substitute for prospective impact evaluation. </w:t>
      </w:r>
      <w:hyperlink r:id="rId9">
        <w:r>
          <w:rPr>
            <w:color w:val="0000EE"/>
            <w:u w:val="single"/>
          </w:rPr>
          <w:t>[1]</w:t>
        </w:r>
      </w:hyperlink>
      <w:hyperlink r:id="rId13">
        <w:r>
          <w:rPr>
            <w:color w:val="0000EE"/>
            <w:u w:val="single"/>
          </w:rPr>
          <w:t>[6]</w:t>
        </w:r>
      </w:hyperlink>
      <w:r/>
    </w:p>
    <w:p>
      <w:r/>
      <w:r>
        <w:t xml:space="preserve">External and temporal validation improved credibility where performed, but such validation remains incomplete across the field. Two of the three Cureus‑included studies reported either temporal or cross‑hospital external validation, with performance attenuating but remaining useful; the stacking ensemble lacked external testing and was judged higher risk of bias. The broader literature similarly contains examples of strong internal results that do not always generalise, underscoring the need for multicentre and prospective testing before clinical use.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Fairness, subgroup performance and representativeness have been insufficiently assessed. The Cureus review reports that race and sex were inconsistently modelled and that none of the included studies reported discrimination or calibration stratified by demographic subgroups. Cohorts were often predominately White, limiting external generalisability. Independent reviews of AI in healthcare stress the same priorities: pre‑specified subgroup audits, transparent reporting of per‑group performance metrics, and predefined mitigation plans for differential performance are essential to trustworthy deployment. </w:t>
      </w:r>
      <w:hyperlink r:id="rId9">
        <w:r>
          <w:rPr>
            <w:color w:val="0000EE"/>
            <w:u w:val="single"/>
          </w:rPr>
          <w:t>[1]</w:t>
        </w:r>
      </w:hyperlink>
      <w:hyperlink r:id="rId14">
        <w:r>
          <w:rPr>
            <w:color w:val="0000EE"/>
            <w:u w:val="single"/>
          </w:rPr>
          <w:t>[5]</w:t>
        </w:r>
      </w:hyperlink>
      <w:r/>
    </w:p>
    <w:p>
      <w:r/>
      <w:r>
        <w:t xml:space="preserve">Clinical implementation has been limited to prototype web interfaces rather than sustained EHR integration. Two studies in the Cureus synthesis released web tools and reported favourable clinician feedback, but none described full integration into electronic health records with ongoing monitoring, recalibration routines, or governance structures to manage alert burden and maintenance. Implementation science frameworks and institutional readiness remain prerequisites for translating predictive performance into improved patient outcomes. </w:t>
      </w:r>
      <w:hyperlink r:id="rId9">
        <w:r>
          <w:rPr>
            <w:color w:val="0000EE"/>
            <w:u w:val="single"/>
          </w:rPr>
          <w:t>[1]</w:t>
        </w:r>
      </w:hyperlink>
      <w:hyperlink r:id="rId10">
        <w:r>
          <w:rPr>
            <w:color w:val="0000EE"/>
            <w:u w:val="single"/>
          </w:rPr>
          <w:t>[2]</w:t>
        </w:r>
      </w:hyperlink>
      <w:r/>
    </w:p>
    <w:p>
      <w:r/>
      <w:r>
        <w:t xml:space="preserve">Methodological limitations reduce confidence in immediate clinical adoption. The Cureus review highlights omissions including sparse reporting of missing‑data handling, lack of nested cross‑validation or bootstrapping for optimism correction, limited description of cohort construction (for example, handling of repeat ICU admissions), and absence of decision‑curve or workload analyses. These shortcomings mirror critiques in broader ML‑AF literature and explain why high internal AUCs do not automatically equate to readiness for bedside use. </w:t>
      </w:r>
      <w:hyperlink r:id="rId9">
        <w:r>
          <w:rPr>
            <w:color w:val="0000EE"/>
            <w:u w:val="single"/>
          </w:rPr>
          <w:t>[1]</w:t>
        </w:r>
      </w:hyperlink>
      <w:hyperlink r:id="rId14">
        <w:r>
          <w:rPr>
            <w:color w:val="0000EE"/>
            <w:u w:val="single"/>
          </w:rPr>
          <w:t>[5]</w:t>
        </w:r>
      </w:hyperlink>
      <w:r/>
    </w:p>
    <w:p>
      <w:r/>
      <w:r>
        <w:t xml:space="preserve">Operationally important outcomes remain understudied: none of the included studies developed or validated length‑of‑stay (LOS) regression models despite LOS being a priority for resource planning in ICUs. The Cureus review frames this as a clear evidence gap and recommends focused work on LOS prediction, with attention to time‑to‑event modelling, censoring, and competing risks. Other reviews of ML applications in ICU settings similarly note the relative scarcity of robust LOS prediction work tailored to specific high‑risk subgroups such as AF. </w:t>
      </w:r>
      <w:hyperlink r:id="rId9">
        <w:r>
          <w:rPr>
            <w:color w:val="0000EE"/>
            <w:u w:val="single"/>
          </w:rPr>
          <w:t>[1]</w:t>
        </w:r>
      </w:hyperlink>
      <w:hyperlink r:id="rId14">
        <w:r>
          <w:rPr>
            <w:color w:val="0000EE"/>
            <w:u w:val="single"/>
          </w:rPr>
          <w:t>[5]</w:t>
        </w:r>
      </w:hyperlink>
      <w:r/>
    </w:p>
    <w:p>
      <w:r/>
      <w:r>
        <w:t xml:space="preserve">Looking forward, the review and related literature recommend a sequence of steps to mature ML risk tools for ICU AF: broader multicentre external validation, routine reporting of calibration metrics (slope, intercept, Brier score), prespecified subgroup audits and fairness assessments, prospective “silent” deployments to assess real‑world calibration and workflow fit, and formal decision‑impact studies including decision‑curve and health‑economic analyses. When disparities are detected, options include subgroup recalibration, threshold adjustment or targeted model updates, accompanied by transparent documentation. These recommendations echo recent consensus guidance on trustworthy clinical AI. </w:t>
      </w:r>
      <w:hyperlink r:id="rId9">
        <w:r>
          <w:rPr>
            <w:color w:val="0000EE"/>
            <w:u w:val="single"/>
          </w:rPr>
          <w:t>[1]</w:t>
        </w:r>
      </w:hyperlink>
      <w:r/>
    </w:p>
    <w:p>
      <w:r/>
      <w:r>
        <w:t xml:space="preserve">In summary, machine learning offers promising discrimination for mortality risk stratification in ICU patients with AF, with boosted and ensemble models repeatedly performing well in retrospective US cohorts. However, pervasive gaps in calibration reporting, subgroup fairness assessment, methodological transparency and sustained implementation mean these models should be considered investigational decision‑support tools until prospective, diverse, and well‑reported evaluations demonstrate reliable, equitable performance and clinical benefit. Future research must prioritise external validation, calibration and fairness audits, development of LOS models, and structured prospective evaluations to determine whether predictive gains translate into improved outcomes and operational value. </w:t>
      </w:r>
      <w:hyperlink r:id="rId9">
        <w:r>
          <w:rPr>
            <w:color w:val="0000EE"/>
            <w:u w:val="single"/>
          </w:rPr>
          <w:t>[1]</w:t>
        </w:r>
      </w:hyperlink>
      <w:hyperlink r:id="rId10">
        <w:r>
          <w:rPr>
            <w:color w:val="0000EE"/>
            <w:u w:val="single"/>
          </w:rPr>
          <w:t>[2]</w:t>
        </w:r>
      </w:hyperlink>
      <w:hyperlink r:id="rId12">
        <w:r>
          <w:rPr>
            <w:color w:val="0000EE"/>
            <w:u w:val="single"/>
          </w:rPr>
          <w:t>[4]</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(Cureus rapid review) - Paragraph 1, Paragraph 2, Paragraph 3, Paragraph 4, Paragraph 5, Paragraph 6, Paragraph 7, Paragraph 8, Paragraph 9, Paragraph 10, Paragraph 11, Paragraph 12</w:t>
      </w:r>
      <w:r/>
    </w:p>
    <w:p>
      <w:pPr>
        <w:pStyle w:val="ListBullet"/>
        <w:spacing w:line="240" w:lineRule="auto"/>
        <w:ind w:left="720"/>
      </w:pPr>
      <w:r/>
      <w:hyperlink r:id="rId10">
        <w:r>
          <w:rPr>
            <w:color w:val="0000EE"/>
            <w:u w:val="single"/>
          </w:rPr>
          <w:t>[2]</w:t>
        </w:r>
      </w:hyperlink>
      <w:r>
        <w:t xml:space="preserve"> (PubMed: Luo et al./AdaBoost study) - Paragraph 2, Paragraph 6, Paragraph 8, Paragraph 11</w:t>
      </w:r>
      <w:r/>
    </w:p>
    <w:p>
      <w:pPr>
        <w:pStyle w:val="ListBullet"/>
        <w:spacing w:line="240" w:lineRule="auto"/>
        <w:ind w:left="720"/>
      </w:pPr>
      <w:r/>
      <w:hyperlink r:id="rId11">
        <w:r>
          <w:rPr>
            <w:color w:val="0000EE"/>
            <w:u w:val="single"/>
          </w:rPr>
          <w:t>[3]</w:t>
        </w:r>
      </w:hyperlink>
      <w:r>
        <w:t xml:space="preserve"> (PubMed: ML vs POAF Score study) - Paragraph 2, Paragraph 9</w:t>
      </w:r>
      <w:r/>
    </w:p>
    <w:p>
      <w:pPr>
        <w:pStyle w:val="ListBullet"/>
        <w:spacing w:line="240" w:lineRule="auto"/>
        <w:ind w:left="720"/>
      </w:pPr>
      <w:r/>
      <w:hyperlink r:id="rId12">
        <w:r>
          <w:rPr>
            <w:color w:val="0000EE"/>
            <w:u w:val="single"/>
          </w:rPr>
          <w:t>[4]</w:t>
        </w:r>
      </w:hyperlink>
      <w:r>
        <w:t xml:space="preserve"> (Nature Scientific Reports 2025 XGBoost study) - Paragraph 3, Paragraph 4, Paragraph 6, Paragraph 11</w:t>
      </w:r>
      <w:r/>
    </w:p>
    <w:p>
      <w:pPr>
        <w:pStyle w:val="ListBullet"/>
        <w:spacing w:line="240" w:lineRule="auto"/>
        <w:ind w:left="720"/>
      </w:pPr>
      <w:r/>
      <w:hyperlink r:id="rId14">
        <w:r>
          <w:rPr>
            <w:color w:val="0000EE"/>
            <w:u w:val="single"/>
          </w:rPr>
          <w:t>[5]</w:t>
        </w:r>
      </w:hyperlink>
      <w:r>
        <w:t xml:space="preserve"> (PubMed systematic review of NOAF in ICU) - Paragraph 7, Paragraph 9, Paragraph 11</w:t>
      </w:r>
      <w:r/>
    </w:p>
    <w:p>
      <w:pPr>
        <w:pStyle w:val="ListBullet"/>
        <w:spacing w:line="240" w:lineRule="auto"/>
        <w:ind w:left="720"/>
      </w:pPr>
      <w:r/>
      <w:hyperlink r:id="rId13">
        <w:r>
          <w:rPr>
            <w:color w:val="0000EE"/>
            <w:u w:val="single"/>
          </w:rPr>
          <w:t>[6]</w:t>
        </w:r>
      </w:hyperlink>
      <w:r>
        <w:t xml:space="preserve"> (Frontiers LightGBM AF recurrence study) - Paragraph 5</w:t>
      </w:r>
      <w:r/>
    </w:p>
    <w:p>
      <w:pPr>
        <w:pStyle w:val="ListBullet"/>
        <w:spacing w:line="240" w:lineRule="auto"/>
        <w:ind w:left="720"/>
      </w:pPr>
      <w:r/>
      <w:r>
        <w:t>(AI fairness guidance referenced in Cureus) - Paragraph 7, Paragraph 11</w:t>
      </w:r>
      <w:r/>
    </w:p>
    <w:p>
      <w:pPr>
        <w:pStyle w:val="ListBullet"/>
        <w:spacing w:line="240" w:lineRule="auto"/>
        <w:ind w:left="720"/>
      </w:pPr>
      <w:r/>
      <w:r>
        <w:t>(Implementation science / governance sources referenced in Cureus) - Paragraph 8, Paragraph 11</w:t>
      </w:r>
      <w:r/>
    </w:p>
    <w:p>
      <w:pPr>
        <w:pStyle w:val="ListBullet"/>
        <w:spacing w:line="240" w:lineRule="auto"/>
        <w:ind w:left="720"/>
      </w:pPr>
      <w:r/>
      <w:r>
        <w:t>(Decision‑impact and evaluation guidance referenced in Cureus) - Paragraph 9, Paragraph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https://www.cureus.com/articles/440114-machine-learning-prediction-of-intensive-care-unit-outcomes-in-atrial-fibrillation-patients-a-rapid-review?score_article=true#!/</w:t>
        </w:r>
      </w:hyperlink>
      <w:r>
        <w:t xml:space="preserve"> - Please view link - unable to able to access data</w:t>
      </w:r>
      <w:r/>
    </w:p>
    <w:p>
      <w:pPr>
        <w:pStyle w:val="ListNumber"/>
        <w:spacing w:line="240" w:lineRule="auto"/>
        <w:ind w:left="720"/>
      </w:pPr>
      <w:r/>
      <w:hyperlink r:id="rId10">
        <w:r>
          <w:rPr>
            <w:color w:val="0000EE"/>
            <w:u w:val="single"/>
          </w:rPr>
          <w:t>https://pubmed.ncbi.nlm.nih.gov/39098165/</w:t>
        </w:r>
      </w:hyperlink>
      <w:r>
        <w:t xml:space="preserve"> - This study developed and validated machine learning models to predict in-hospital mortality in ICU patients with atrial fibrillation (AF). Using the MIMIC-IV dataset and eICU Collaborative Research Database, the researchers compared ten classifiers, finding that adaptive boosting (AdaBoost) outperformed others. A compact model with 15 features was developed and validated, achieving an area under the receiver operating characteristic curve (AUC) of 1.0 in the training set, indicating excellent predictive performance for mortality risk in critically ill AF patients.</w:t>
      </w:r>
      <w:r/>
    </w:p>
    <w:p>
      <w:pPr>
        <w:pStyle w:val="ListNumber"/>
        <w:spacing w:line="240" w:lineRule="auto"/>
        <w:ind w:left="720"/>
      </w:pPr>
      <w:r/>
      <w:hyperlink r:id="rId11">
        <w:r>
          <w:rPr>
            <w:color w:val="0000EE"/>
            <w:u w:val="single"/>
          </w:rPr>
          <w:t>https://pubmed.ncbi.nlm.nih.gov/34215511/</w:t>
        </w:r>
      </w:hyperlink>
      <w:r>
        <w:t xml:space="preserve"> - This study compared the performance of machine learning (ML) models to the established POAF Score in predicting postoperative atrial fibrillation (POAF) during ICU admission after cardiac surgery. Utilizing the MIMIC-III database, the researchers evaluated various ML algorithms, including random forest, decision tree, logistic regression, k-nearest neighbours, support vector machine, and gradient boosted machine. The study found that ML models outperformed the POAF Score, highlighting the potential of ML in enhancing POAF prediction accuracy in ICU settings.</w:t>
      </w:r>
      <w:r/>
    </w:p>
    <w:p>
      <w:pPr>
        <w:pStyle w:val="ListNumber"/>
        <w:spacing w:line="240" w:lineRule="auto"/>
        <w:ind w:left="720"/>
      </w:pPr>
      <w:r/>
      <w:hyperlink r:id="rId12">
        <w:r>
          <w:rPr>
            <w:color w:val="0000EE"/>
            <w:u w:val="single"/>
          </w:rPr>
          <w:t>https://www.nature.com/articles/s41598-025-14579-8</w:t>
        </w:r>
      </w:hyperlink>
      <w:r>
        <w:t xml:space="preserve"> - This research developed and validated four machine learning algorithms—Random Forest (RF), XGBoost, Deep Neural Network (DNN), and Logistic Regression (LR)—to predict in-hospital cardiac mortality among atrial fibrillation (AF) patients. Based on a comprehensive dataset of 79 metrics, the XGBoost model emerged as the superior performer, achieving an AUC of 0.964 in the training set and 0.932 in the validation set. These findings underscore the potential of ML techniques to enhance clinical risk stratification and decision-making in AF management.</w:t>
      </w:r>
      <w:r/>
    </w:p>
    <w:p>
      <w:pPr>
        <w:pStyle w:val="ListNumber"/>
        <w:spacing w:line="240" w:lineRule="auto"/>
        <w:ind w:left="720"/>
      </w:pPr>
      <w:r/>
      <w:hyperlink r:id="rId14">
        <w:r>
          <w:rPr>
            <w:color w:val="0000EE"/>
            <w:u w:val="single"/>
          </w:rPr>
          <w:t>https://pubmed.ncbi.nlm.nih.gov/38594589/</w:t>
        </w:r>
      </w:hyperlink>
      <w:r>
        <w:t xml:space="preserve"> - This systematic review examined the application of machine learning (ML) algorithms for predicting and detecting new-onset atrial fibrillation (NOAF) in ICU-treated patients. Following PRISMA guidelines, the review included five studies published between November 2020 and April 2023, which sourced 108,724 ICU admission records from databases like MIMIC. The findings suggest that ML models can effectively predict and detect NOAF in ICU settings, offering a promising approach to early identification and management of this arrhythmia.</w:t>
      </w:r>
      <w:r/>
    </w:p>
    <w:p>
      <w:pPr>
        <w:pStyle w:val="ListNumber"/>
        <w:spacing w:line="240" w:lineRule="auto"/>
        <w:ind w:left="720"/>
      </w:pPr>
      <w:r/>
      <w:hyperlink r:id="rId13">
        <w:r>
          <w:rPr>
            <w:color w:val="0000EE"/>
            <w:u w:val="single"/>
          </w:rPr>
          <w:t>https://www.frontiersin.org/articles/10.3389/fcvm.2025.1612750/full</w:t>
        </w:r>
      </w:hyperlink>
      <w:r>
        <w:t xml:space="preserve"> - This study developed a machine learning-based prediction model for recurrence after radiofrequency catheter ablation in patients with atrial fibrillation. Evaluating four ML algorithms, the Light Gradient Boosting Machine (LightGBM) model demonstrated promising performance, achieving an accuracy of 0.721 and an AUC of 0.848. Interpretation using SHAP analysis identified B-type natriuretic peptide and the neutrophil-to-lymphocyte ratio as significant predictors for AF recurrence, highlighting the potential of ML in informing risk stratification and personalized follow-up strategies.</w:t>
      </w:r>
      <w:r/>
    </w:p>
    <w:p>
      <w:pPr>
        <w:pStyle w:val="ListNumber"/>
        <w:spacing w:line="240" w:lineRule="auto"/>
        <w:ind w:left="720"/>
      </w:pPr>
      <w:r/>
      <w:hyperlink r:id="rId16">
        <w:r>
          <w:rPr>
            <w:color w:val="0000EE"/>
            <w:u w:val="single"/>
          </w:rPr>
          <w:t>https://www.frontiersin.org/articles/10.3389/fcvm.2025.1642409/full</w:t>
        </w:r>
      </w:hyperlink>
      <w:r>
        <w:t xml:space="preserve"> - This research developed a machine learning-based prediction model for recurrence after radiofrequency catheter ablation in patients with atrial fibrillation. Evaluating four ML algorithms, the Light Gradient Boosting Machine (LightGBM) model demonstrated promising performance, achieving an accuracy of 0.721 and an AUC of 0.848. Interpretation using SHAP analysis identified B-type natriuretic peptide and the neutrophil-to-lymphocyte ratio as significant predictors for AF recurrence, highlighting the potential of ML in informing risk stratification and personalized follow-up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reus.com/articles/440114-machine-learning-prediction-of-intensive-care-unit-outcomes-in-atrial-fibrillation-patients-a-rapid-review?score_article=true#!/" TargetMode="External"/><Relationship Id="rId10" Type="http://schemas.openxmlformats.org/officeDocument/2006/relationships/hyperlink" Target="https://pubmed.ncbi.nlm.nih.gov/39098165/" TargetMode="External"/><Relationship Id="rId11" Type="http://schemas.openxmlformats.org/officeDocument/2006/relationships/hyperlink" Target="https://pubmed.ncbi.nlm.nih.gov/34215511/" TargetMode="External"/><Relationship Id="rId12" Type="http://schemas.openxmlformats.org/officeDocument/2006/relationships/hyperlink" Target="https://www.nature.com/articles/s41598-025-14579-8" TargetMode="External"/><Relationship Id="rId13" Type="http://schemas.openxmlformats.org/officeDocument/2006/relationships/hyperlink" Target="https://www.frontiersin.org/articles/10.3389/fcvm.2025.1612750/full" TargetMode="External"/><Relationship Id="rId14" Type="http://schemas.openxmlformats.org/officeDocument/2006/relationships/hyperlink" Target="https://pubmed.ncbi.nlm.nih.gov/38594589/" TargetMode="External"/><Relationship Id="rId15" Type="http://schemas.openxmlformats.org/officeDocument/2006/relationships/hyperlink" Target="https://www.noahwire.com" TargetMode="External"/><Relationship Id="rId16" Type="http://schemas.openxmlformats.org/officeDocument/2006/relationships/hyperlink" Target="https://www.frontiersin.org/articles/10.3389/fcvm.2025.1642409/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