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markets fluctuate amid macro shocks and Solana's DDoS resilience test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Bitcoin and the wider cryptocurrency market were pushed and pulled this week by a mix of macroeconomic shocks and technical incidents on major blockchains, with Solana absorbing a massive distributed denial-of-service (DDoS) assault even as bitcoin’s mining hashrate briefly plunged and Ethereum developers outlined the next phase of protocol upgrades.</w:t>
      </w:r>
      <w:r/>
    </w:p>
    <w:p>
      <w:r/>
      <w:r>
        <w:t xml:space="preserve">Bitcoin traded choppily over the seven-day period, slipping from near $89,000 to roughly $85,000 before testing the $90,000 area and retreating again; by the week’s close the coin was down about 1.5%. Market moves were driven in part by US inflation data and a surprise shift in Japanese monetary policy expectations: a softer-than-forecast US Consumer Price Index reading lifted sentiment midweek, while the Bank of Japan’s decision to raise its benchmark rate to a 30-year high surprised markets and briefly supported risk assets. According to AP, the BOJ raised its short-term rate to 0.75% as it moved to curb persistent inflation, a shift that analysts warned could have wider implications for global asset flows, including crypto.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Most large-cap tokens tracked bitcoin’s weakness; SOL and DOGE were among the heaviest decliners, while XRP bucked the trend with modest gains. Market metrics underlined lingering caution: the Crypto Fear &amp; Greed Index remained deep in "extreme fear" territory and total crypto market capitalisation hovered around $3.08 trillion, with bitcoin dominance near 57%. </w:t>
      </w:r>
      <w:hyperlink r:id="rId9">
        <w:r>
          <w:rPr>
            <w:color w:val="0000EE"/>
            <w:u w:val="single"/>
          </w:rPr>
          <w:t>[1]</w:t>
        </w:r>
      </w:hyperlink>
      <w:r/>
    </w:p>
    <w:p>
      <w:r/>
      <w:r>
        <w:t xml:space="preserve">Mid-December’s most visible network stress test fell on Solana, which endured a multi-day DDoS campaign that Pipe Network and on-chain observers recorded as peaking at roughly 6 terabits per second. Despite the volume , comparable to attacks on major cloud providers , validators continued producing blocks and transactions confirmed within typical timescales; Pipe Network reported average confirmation latency around 450 ms with p90 below 700 ms, and independent monitoring showed no slot skips or chain halts. Solana founder Anatoly Yakovenko called the episode and the network’s response "bullish". Industry monitoring and postmortems framed the incident as an unusually large but ultimately absorbed assault on RPC endpoints. </w:t>
      </w:r>
      <w:hyperlink r:id="rId9">
        <w:r>
          <w:rPr>
            <w:color w:val="0000EE"/>
            <w:u w:val="single"/>
          </w:rPr>
          <w:t>[1]</w:t>
        </w:r>
      </w:hyperlink>
      <w:hyperlink r:id="rId12">
        <w:r>
          <w:rPr>
            <w:color w:val="0000EE"/>
            <w:u w:val="single"/>
          </w:rPr>
          <w:t>[4]</w:t>
        </w:r>
      </w:hyperlink>
      <w:hyperlink r:id="rId13">
        <w:r>
          <w:rPr>
            <w:color w:val="0000EE"/>
            <w:u w:val="single"/>
          </w:rPr>
          <w:t>[6]</w:t>
        </w:r>
      </w:hyperlink>
      <w:hyperlink r:id="rId14">
        <w:r>
          <w:rPr>
            <w:color w:val="0000EE"/>
            <w:u w:val="single"/>
          </w:rPr>
          <w:t>[7]</w:t>
        </w:r>
      </w:hyperlink>
      <w:r/>
    </w:p>
    <w:p>
      <w:r/>
      <w:r>
        <w:t xml:space="preserve">The attack on Solana followed a similar incident that affected the Sui network earlier in December, which did cause block production delays, underscoring that distributed ledgers remain attractive targets for volumetric interference and that outcomes can vary by architecture. In response to long‑term threats, the Solana Foundation also said it is partnering with Project Eleven to assess quantum‑era risks and build a post‑quantum testnet prototype using post‑quantum digital signatures. "Our responsibility is to ensure the blockchain’s security not only today, but for decades ahead. The Solana ecosystem’s culture of rapidly implementing innovation will continue with the release of a second client and a cutting‑edge consensus mechanism this year," said Solana Foundation vice‑president of technology Matt Sorg. </w:t>
      </w:r>
      <w:hyperlink r:id="rId9">
        <w:r>
          <w:rPr>
            <w:color w:val="0000EE"/>
            <w:u w:val="single"/>
          </w:rPr>
          <w:t>[1]</w:t>
        </w:r>
      </w:hyperlink>
      <w:r/>
    </w:p>
    <w:p>
      <w:r/>
      <w:r>
        <w:t xml:space="preserve">At the protocol level, Ethereum developers revealed the codename and planning cadence for the second upgrade slated for 2026, Hegota, saying the main proposal will be selected no earlier than February, with Verkle trees the leading candidate to address state and history bloat. The team also reaffirmed a stable schedule of two hard forks per year, with the nearer Glamsterdam hard fork expected to consider ePBS (splitting proposers and builders at protocol level), access lists and EVM gas repricing as potential measures to improve decentralisation and execution efficiency. Industry observers highlighted that node operators are increasingly focused on state‑size problems, making these technical proposals consequential for long‑term usability. </w:t>
      </w:r>
      <w:hyperlink r:id="rId9">
        <w:r>
          <w:rPr>
            <w:color w:val="0000EE"/>
            <w:u w:val="single"/>
          </w:rPr>
          <w:t>[1]</w:t>
        </w:r>
      </w:hyperlink>
      <w:r/>
    </w:p>
    <w:p>
      <w:r/>
      <w:r>
        <w:t xml:space="preserve">Bitcoin’s network fundamentals produced another headline when hashrate plunged sharply midweek, dropping as much as 17% the prior week and about 8% between 14 and 15 December before recovering to roughly 1,080 EH/s. Some miners and analysts attributed the dip to temporary shutdowns in Xinjiang and other Chinese regions amid inspections, with Nano Labs founder Jack Kong and local journalists suggesting seizures or disconnects of mining devices; MinerMag and other pool analysts cautioned the fall appeared temporary and may have reflected operational issues across large pools, many of which have infrastructure outside mainland China. By 17 December most capacity had returned. </w:t>
      </w:r>
      <w:hyperlink r:id="rId9">
        <w:r>
          <w:rPr>
            <w:color w:val="0000EE"/>
            <w:u w:val="single"/>
          </w:rPr>
          <w:t>[1]</w:t>
        </w:r>
      </w:hyperlink>
      <w:r/>
    </w:p>
    <w:p>
      <w:r/>
      <w:r>
        <w:t xml:space="preserve">Payments infrastructure also continued to evolve: Visa announced USDC settlement for issuing and acquiring banks in the United States using the Solana network, enabling daily settlement and seven‑day liquidity movements for participating banks, with Cross River Bank and Lead Bank named as early participants. Visa said the arrangement aims to modernise treasury operations while preserving transparency and security and noted it had processed more than $3.5 billion in stablecoin settlements via its network through 30 November; the company also signed on as a design partner for Arc, Circle’s new L1 blockchain in public testnet. The company framed these changes as steps toward faster, more flexible institutional settlement. </w:t>
      </w:r>
      <w:hyperlink r:id="rId9">
        <w:r>
          <w:rPr>
            <w:color w:val="0000EE"/>
            <w:u w:val="single"/>
          </w:rPr>
          <w:t>[1]</w:t>
        </w:r>
      </w:hyperlink>
      <w:r/>
    </w:p>
    <w:p>
      <w:r/>
      <w:r>
        <w:t xml:space="preserve">Taken together, the week illustrated the interplay between macro policy shifts, infrastructure resilience and protocol evolution: monetary policy in Tokyo and data out of the United States moved prices; coordinated technical pressure tested public blockchains at scale; and protocol teams continued to plan structural fixes for scalability and decentralisation even as enterprise players pushed stablecoins into bank rails. For traders and operators alike, the message was that both macro and technical vectors now matter in equal measure for crypto’s near‑term trajectory.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(ForkLog) - Paragraph 1, Paragraph 3, Paragraph 4, Paragraph 5, Paragraph 6, Paragraph 7, Paragraph 8</w:t>
      </w:r>
      <w:r/>
    </w:p>
    <w:p>
      <w:pPr>
        <w:pStyle w:val="ListBullet"/>
        <w:spacing w:line="240" w:lineRule="auto"/>
        <w:ind w:left="720"/>
      </w:pPr>
      <w:r/>
      <w:hyperlink r:id="rId10">
        <w:r>
          <w:rPr>
            <w:color w:val="0000EE"/>
            <w:u w:val="single"/>
          </w:rPr>
          <w:t>[2]</w:t>
        </w:r>
      </w:hyperlink>
      <w:r>
        <w:t xml:space="preserve"> (AP News) - Paragraph 2</w:t>
      </w:r>
      <w:r/>
    </w:p>
    <w:p>
      <w:pPr>
        <w:pStyle w:val="ListBullet"/>
        <w:spacing w:line="240" w:lineRule="auto"/>
        <w:ind w:left="720"/>
      </w:pPr>
      <w:r/>
      <w:hyperlink r:id="rId11">
        <w:r>
          <w:rPr>
            <w:color w:val="0000EE"/>
            <w:u w:val="single"/>
          </w:rPr>
          <w:t>[3]</w:t>
        </w:r>
      </w:hyperlink>
      <w:r>
        <w:t xml:space="preserve"> (AP News) - Paragraph 2</w:t>
      </w:r>
      <w:r/>
    </w:p>
    <w:p>
      <w:pPr>
        <w:pStyle w:val="ListBullet"/>
        <w:spacing w:line="240" w:lineRule="auto"/>
        <w:ind w:left="720"/>
      </w:pPr>
      <w:r/>
      <w:hyperlink r:id="rId12">
        <w:r>
          <w:rPr>
            <w:color w:val="0000EE"/>
            <w:u w:val="single"/>
          </w:rPr>
          <w:t>[4]</w:t>
        </w:r>
      </w:hyperlink>
      <w:r>
        <w:t xml:space="preserve"> (DeFi Planet) - Paragraph 4, Paragraph 8</w:t>
      </w:r>
      <w:r/>
    </w:p>
    <w:p>
      <w:pPr>
        <w:pStyle w:val="ListBullet"/>
        <w:spacing w:line="240" w:lineRule="auto"/>
        <w:ind w:left="720"/>
      </w:pPr>
      <w:r/>
      <w:hyperlink r:id="rId13">
        <w:r>
          <w:rPr>
            <w:color w:val="0000EE"/>
            <w:u w:val="single"/>
          </w:rPr>
          <w:t>[6]</w:t>
        </w:r>
      </w:hyperlink>
      <w:r>
        <w:t xml:space="preserve"> (MEXC News) - Paragraph 4</w:t>
      </w:r>
      <w:r/>
    </w:p>
    <w:p>
      <w:pPr>
        <w:pStyle w:val="ListBullet"/>
        <w:spacing w:line="240" w:lineRule="auto"/>
        <w:ind w:left="720"/>
      </w:pPr>
      <w:r/>
      <w:hyperlink r:id="rId14">
        <w:r>
          <w:rPr>
            <w:color w:val="0000EE"/>
            <w:u w:val="single"/>
          </w:rPr>
          <w:t>[7]</w:t>
        </w:r>
      </w:hyperlink>
      <w:r>
        <w:t xml:space="preserve"> (Dzilla) - Paragraph 4,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https://forklog.com/en/the-week-in-crypto-solana-hit-by-ddos-bitcoins-hashrate-plunges/</w:t>
        </w:r>
      </w:hyperlink>
      <w:r>
        <w:t xml:space="preserve"> - Please view link - unable to able to access data</w:t>
      </w:r>
      <w:r/>
    </w:p>
    <w:p>
      <w:pPr>
        <w:pStyle w:val="ListNumber"/>
        <w:spacing w:line="240" w:lineRule="auto"/>
        <w:ind w:left="720"/>
      </w:pPr>
      <w:r/>
      <w:hyperlink r:id="rId10">
        <w:r>
          <w:rPr>
            <w:color w:val="0000EE"/>
            <w:u w:val="single"/>
          </w:rPr>
          <w:t>https://apnews.com/article/e5c85c9eea866eb1b18d924635b7fef4</w:t>
        </w:r>
      </w:hyperlink>
      <w:r>
        <w:t xml:space="preserve"> - A recent quarterly 'tankan' survey by the Bank of Japan (BOJ) revealed a slight improvement in business sentiment among major Japanese manufacturers, reaching its highest level in four years despite new U.S. tariffs. President Trump set tariffs on Japanese exports at 15%, down from a planned 25%, as part of a deal that includes Japan committing $550 billion in investment in the U.S. The tankan index for major manufacturers rose from 14 to 15, and the sentiment index for all firms increased from 15 to 17. These results come as the BOJ considers a 0.25 percentage point rate hike, which would bring its benchmark rate to 0.75%, diverging from the U.S. Federal Reserve’s rate cuts. The positive business sentiment may support the case for the hike, although concerns remain about inflation, projected at 2.4%, above the BOJ's target. However, Japan’s economy contracted at an annualized 2.3% in Q3, and challenges like a shrinking population and stagnant wages persist. Prime Minister Sanae Takaichi has approved a ¥21.3 trillion ($135.4 billion) stimulus package to boost growth and mitigate inflation effects. The expectation of higher interest rates also impacted Bitcoin, which dipped below $88,000.</w:t>
      </w:r>
      <w:r/>
    </w:p>
    <w:p>
      <w:pPr>
        <w:pStyle w:val="ListNumber"/>
        <w:spacing w:line="240" w:lineRule="auto"/>
        <w:ind w:left="720"/>
      </w:pPr>
      <w:r/>
      <w:hyperlink r:id="rId11">
        <w:r>
          <w:rPr>
            <w:color w:val="0000EE"/>
            <w:u w:val="single"/>
          </w:rPr>
          <w:t>https://apnews.com/article/cd9ce451cc63b2d6c6932adc3b138684</w:t>
        </w:r>
      </w:hyperlink>
      <w:r>
        <w:t xml:space="preserve"> - On December 19, 2025, the Bank of Japan (BOJ) raised its benchmark short-term interest rate by 0.25 percentage points to 0.75%, marking a 30-year high and signaling a shift from years of ultra-low interest rates. This hike is aimed at curbing inflation, which stood at 3% in November, remaining above the BOJ's 2% target for an extended period. Despite its increase, the rate remains low relative to global standards. Since Japan’s economic stagnation in the 1990s, the BOJ has kept rates near zero or negative to combat deflation and spur economic growth. The pandemic prompted similar easing, but persistent inflation and a weakened yen—which increased import costs—prompted the BOJ to tighten monetary policy beginning in 2024. The yen’s depreciation has driven inflation, straining consumers and businesses. Meanwhile, global markets reacted calmly to the widely expected rate hike. The BOJ may continue raising rates if inflation pressures persist. Critics warn that misjudging policy timing could disrupt growth. However, improving business sentiment and moderated inflation risks have given the BOJ confidence to act. The move could also weaken appeal for yen-based 'carry trades' and affect global asset markets, including cryptocurrencies.</w:t>
      </w:r>
      <w:r/>
    </w:p>
    <w:p>
      <w:pPr>
        <w:pStyle w:val="ListNumber"/>
        <w:spacing w:line="240" w:lineRule="auto"/>
        <w:ind w:left="720"/>
      </w:pPr>
      <w:r/>
      <w:hyperlink r:id="rId12">
        <w:r>
          <w:rPr>
            <w:color w:val="0000EE"/>
            <w:u w:val="single"/>
          </w:rPr>
          <w:t>https://defi-planet.com/2025/12/solana-absorbs-record-6-tbps-ddos-attack-sustains-full-operations/</w:t>
        </w:r>
      </w:hyperlink>
      <w:r>
        <w:t xml:space="preserve"> - Solana faced a multi-day DDoS flood peaking at 6 Tbps on December 15, according to data from Pipe Network and SolanaFloor. The attack flooded RPC endpoints without causing any block delays, slot skips, or failed transactions across the chain. Validators maintained normal vote rates while processing routine volumes of over 100 million daily transactions. Despite the massive scale of the attack, the network remained fully operational, with blocks continuing to be produced and transactions confirming in under a second. This incident highlights Solana's resilience in the face of significant cyber threats.</w:t>
      </w:r>
      <w:r/>
    </w:p>
    <w:p>
      <w:pPr>
        <w:pStyle w:val="ListNumber"/>
        <w:spacing w:line="240" w:lineRule="auto"/>
        <w:ind w:left="720"/>
      </w:pPr>
      <w:r/>
      <w:hyperlink r:id="rId16">
        <w:r>
          <w:rPr>
            <w:color w:val="0000EE"/>
            <w:u w:val="single"/>
          </w:rPr>
          <w:t>https://apnews.com/article/7245f40c24b9837c5cd9be1f43cb3fa8</w:t>
        </w:r>
      </w:hyperlink>
      <w:r>
        <w:t xml:space="preserve"> - Asian shares advanced Wednesday, with Tokyo gaining more than 2% after Japan's central bank kept its lax monetary policy unchanged, dispelling speculation it would yield to pressure to tighten credit to counter rising inflation. The Bank of Japan shook markets in December with a surprise widening of its ... . Inflation has been more subdued in Japan ... .</w:t>
      </w:r>
      <w:r/>
    </w:p>
    <w:p>
      <w:pPr>
        <w:pStyle w:val="ListNumber"/>
        <w:spacing w:line="240" w:lineRule="auto"/>
        <w:ind w:left="720"/>
      </w:pPr>
      <w:r/>
      <w:hyperlink r:id="rId13">
        <w:r>
          <w:rPr>
            <w:color w:val="0000EE"/>
            <w:u w:val="single"/>
          </w:rPr>
          <w:t>https://www.mexc.com/news/280708</w:t>
        </w:r>
      </w:hyperlink>
      <w:r>
        <w:t xml:space="preserve"> - Solana faced a multi-day DDoS flood peaking at 6 Tbps on December 15, according to data from Pipe Network and SolanaFloor. The attack flooded RPC endpoints without causing any block delays, slot skips, or failed transactions across the chain. Validators maintained normal vote rates while processing routine volumes of over 100 million daily transactions. Despite the massive scale of the attack, the network remained fully operational, with blocks continuing to be produced and transactions confirming in under a second. This incident highlights Solana's resilience in the face of significant cyber threats.</w:t>
      </w:r>
      <w:r/>
    </w:p>
    <w:p>
      <w:pPr>
        <w:pStyle w:val="ListNumber"/>
        <w:spacing w:line="240" w:lineRule="auto"/>
        <w:ind w:left="720"/>
      </w:pPr>
      <w:r/>
      <w:hyperlink r:id="rId14">
        <w:r>
          <w:rPr>
            <w:color w:val="0000EE"/>
            <w:u w:val="single"/>
          </w:rPr>
          <w:t>https://dzilla.com/solana-under-fire-ddos-attacks-network-resilience-and-what-it-means-for-investors/</w:t>
        </w:r>
      </w:hyperlink>
      <w:r>
        <w:t xml:space="preserve"> - In mid-December 2025, Solana became the target of what appears to be one of the largest sustained Distributed Denial of Service (DDoS) attacks ever directed at a public blockchain network. According to reporting by SolanaFloor, the attack persisted for nearly a week, with traffic volumes peaking at close to 6 terabits per second (Tbps). To contextualize this magnitude, such throughput would be sufficient to stream roughly 240,000 concurrent 4K video feeds, an extraordinary volume by any networking standard. Despite this, Solana’s core network metrics reportedly remained stable. Transaction confirmations continued to complete in under one second, block production showed no abnormal variance, and no chain halt or partial outage was observed. In an industry where network interruptions have historically undermined confidence, this episode has become an unplanned but highly visible stress test of Solana’s architectural choices.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klog.com/en/the-week-in-crypto-solana-hit-by-ddos-bitcoins-hashrate-plunges/" TargetMode="External"/><Relationship Id="rId10" Type="http://schemas.openxmlformats.org/officeDocument/2006/relationships/hyperlink" Target="https://apnews.com/article/e5c85c9eea866eb1b18d924635b7fef4" TargetMode="External"/><Relationship Id="rId11" Type="http://schemas.openxmlformats.org/officeDocument/2006/relationships/hyperlink" Target="https://apnews.com/article/cd9ce451cc63b2d6c6932adc3b138684" TargetMode="External"/><Relationship Id="rId12" Type="http://schemas.openxmlformats.org/officeDocument/2006/relationships/hyperlink" Target="https://defi-planet.com/2025/12/solana-absorbs-record-6-tbps-ddos-attack-sustains-full-operations/" TargetMode="External"/><Relationship Id="rId13" Type="http://schemas.openxmlformats.org/officeDocument/2006/relationships/hyperlink" Target="https://www.mexc.com/news/280708" TargetMode="External"/><Relationship Id="rId14" Type="http://schemas.openxmlformats.org/officeDocument/2006/relationships/hyperlink" Target="https://dzilla.com/solana-under-fire-ddos-attacks-network-resilience-and-what-it-means-for-investors/" TargetMode="External"/><Relationship Id="rId15" Type="http://schemas.openxmlformats.org/officeDocument/2006/relationships/hyperlink" Target="https://www.noahwire.com" TargetMode="External"/><Relationship Id="rId16" Type="http://schemas.openxmlformats.org/officeDocument/2006/relationships/hyperlink" Target="https://apnews.com/article/7245f40c24b9837c5cd9be1f43cb3f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