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Founders prioritise demand validation and aligned capital to secure sustainable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Raising capital remains one of the most consequential decisions a founder makes, but seasoned entrepreneurs consistently counsel that when and how you take money matters as much as the amount. Many argue the true win is a sustainable business, not the headline-grabbing “raise”; premature dilution, poor instrument choice and mismatched backers can hobble a company long before it reaches traction. According to interviews with multiple founders, a clearer sequence , validate demand, prove unit economics, then seek aligned capital , reduces risk and preserves control. </w:t>
      </w:r>
      <w:hyperlink r:id="rId9">
        <w:r>
          <w:rPr>
            <w:color w:val="0000EE"/>
            <w:u w:val="single"/>
          </w:rPr>
          <w:t>[1]</w:t>
        </w:r>
      </w:hyperlink>
      <w:r/>
    </w:p>
    <w:p>
      <w:r/>
      <w:r>
        <w:t xml:space="preserve">Founders who delay fundraising until after a public product launch report stronger negotiating positions. They note that live customers, revenue signals and real usage metrics turn conversations with investors into due diligence on facts rather than speculation about potential. The approach also makes alternative capital paths practicable: Regulation Crowdfunding (Reg CF), Reg A+ and pre‑sales platforms can both validate market demand and attract follow‑on institutional interest. Industry guides and platform providers point to underused community and crowd channels as effective early signals of de‑risking. </w:t>
      </w:r>
      <w:hyperlink r:id="rId9">
        <w:r>
          <w:rPr>
            <w:color w:val="0000EE"/>
            <w:u w:val="single"/>
          </w:rPr>
          <w:t>[1]</w:t>
        </w:r>
      </w:hyperlink>
      <w:hyperlink r:id="rId10">
        <w:r>
          <w:rPr>
            <w:color w:val="0000EE"/>
            <w:u w:val="single"/>
          </w:rPr>
          <w:t>[5]</w:t>
        </w:r>
      </w:hyperlink>
      <w:hyperlink r:id="rId11">
        <w:r>
          <w:rPr>
            <w:color w:val="0000EE"/>
            <w:u w:val="single"/>
          </w:rPr>
          <w:t>[6]</w:t>
        </w:r>
      </w:hyperlink>
      <w:r/>
    </w:p>
    <w:p>
      <w:r/>
      <w:r>
        <w:t xml:space="preserve">That said, other experienced entrepreneurs caution against waiting too long. Early external capital can accelerate learning, professionalise operations and open distribution that bootstrapping cannot. Raising a seed round once product‑market fit is evident often forces founders to adopt stronger financial discipline and reporting, which in turn helps scale. The balance between “move early” and “move wisely” depends on the business model and the founder’s ability to demonstrate repeatable economics. </w:t>
      </w:r>
      <w:hyperlink r:id="rId9">
        <w:r>
          <w:rPr>
            <w:color w:val="0000EE"/>
            <w:u w:val="single"/>
          </w:rPr>
          <w:t>[1]</w:t>
        </w:r>
      </w:hyperlink>
      <w:r/>
    </w:p>
    <w:p>
      <w:r/>
      <w:r>
        <w:t xml:space="preserve">Which instruments founders choose is as important as the timing. Non‑dilutive options such as revenue‑based financing or receivables platforms allow companies with predictable income to access growth capital without immediate equity dilution, while SAFEs and convertible notes, although fast, can create cap‑table complexity and surprise dilution later. Industry services that catalogue stage‑matched funding sources recommend tagging options by use case and lifecycle to help founders weigh trade‑offs. </w:t>
      </w:r>
      <w:hyperlink r:id="rId9">
        <w:r>
          <w:rPr>
            <w:color w:val="0000EE"/>
            <w:u w:val="single"/>
          </w:rPr>
          <w:t>[1]</w:t>
        </w:r>
      </w:hyperlink>
      <w:hyperlink r:id="rId12">
        <w:r>
          <w:rPr>
            <w:color w:val="0000EE"/>
            <w:u w:val="single"/>
          </w:rPr>
          <w:t>[2]</w:t>
        </w:r>
      </w:hyperlink>
      <w:r/>
    </w:p>
    <w:p>
      <w:r/>
      <w:r>
        <w:t xml:space="preserve">Equally critical is choosing investors who fit the company’s stage and mission. Several entrepreneurs describe better outcomes when capital comes from aligned communities , customers, industry insiders or mission‑driven backers , rather than generic gatekeepers. Community‑sourced rounds and investor networks tied to a company’s customer base not only provide capital but also strategic validation and distribution advantages. Data from community crowdfunding platforms show high success rates for mission‑aligned local campaigns. </w:t>
      </w:r>
      <w:hyperlink r:id="rId9">
        <w:r>
          <w:rPr>
            <w:color w:val="0000EE"/>
            <w:u w:val="single"/>
          </w:rPr>
          <w:t>[1]</w:t>
        </w:r>
      </w:hyperlink>
      <w:hyperlink r:id="rId11">
        <w:r>
          <w:rPr>
            <w:color w:val="0000EE"/>
            <w:u w:val="single"/>
          </w:rPr>
          <w:t>[6]</w:t>
        </w:r>
      </w:hyperlink>
      <w:r/>
    </w:p>
    <w:p>
      <w:r/>
      <w:r>
        <w:t xml:space="preserve">Practical readiness matters: founders should present clear unit economics, a cash‑flow plan and a concise risk brief addressing principal failure modes and mitigations. Investors spend more time hunting ways a company can lose money than imagining its upside; proactively leading with risks and evidence of mitigation flips the dynamic and accelerates useful conversations. Service providers that help founders prepare for capital raises emphasise creating reproducible metrics and investor‑ready documentation early. </w:t>
      </w:r>
      <w:hyperlink r:id="rId9">
        <w:r>
          <w:rPr>
            <w:color w:val="0000EE"/>
            <w:u w:val="single"/>
          </w:rPr>
          <w:t>[1]</w:t>
        </w:r>
      </w:hyperlink>
      <w:hyperlink r:id="rId13">
        <w:r>
          <w:rPr>
            <w:color w:val="0000EE"/>
            <w:u w:val="single"/>
          </w:rPr>
          <w:t>[3]</w:t>
        </w:r>
      </w:hyperlink>
      <w:r/>
    </w:p>
    <w:p>
      <w:r/>
      <w:r>
        <w:t xml:space="preserve">Operational preparedness pays off in financing choices. Automated accounting and forecasting systems that surface real‑time cash flow, customer lifetime value and payback periods make founders more credible and can shorten fundraising cycles. Founders who can point to consistent revenue streams, low churn and clear deployment plans for new capital tend to access better terms and a wider range of instruments. </w:t>
      </w:r>
      <w:hyperlink r:id="rId9">
        <w:r>
          <w:rPr>
            <w:color w:val="0000EE"/>
            <w:u w:val="single"/>
          </w:rPr>
          <w:t>[1]</w:t>
        </w:r>
      </w:hyperlink>
      <w:r/>
    </w:p>
    <w:p>
      <w:r/>
      <w:r>
        <w:t xml:space="preserve">For many early‑stage teams the optimal path is a blended capital strategy: bootstrap to prove the model, use customer pre‑sales or community rounds to validate demand, tap non‑dilutive products where revenue allows, and then bring in equity partners who add market access and expertise. Advisory platforms that map thousands of funding sources by geography, stage and use case can be used to construct this staged approach and avoid the “one‑size‑fits‑all” trap. </w:t>
      </w:r>
      <w:hyperlink r:id="rId9">
        <w:r>
          <w:rPr>
            <w:color w:val="0000EE"/>
            <w:u w:val="single"/>
          </w:rPr>
          <w:t>[1]</w:t>
        </w:r>
      </w:hyperlink>
      <w:hyperlink r:id="rId12">
        <w:r>
          <w:rPr>
            <w:color w:val="0000EE"/>
            <w:u w:val="single"/>
          </w:rPr>
          <w:t>[2]</w:t>
        </w:r>
      </w:hyperlink>
      <w:hyperlink r:id="rId10">
        <w:r>
          <w:rPr>
            <w:color w:val="0000EE"/>
            <w:u w:val="single"/>
          </w:rPr>
          <w:t>[5]</w:t>
        </w:r>
      </w:hyperlink>
      <w:r/>
    </w:p>
    <w:p>
      <w:r/>
      <w:r>
        <w:t xml:space="preserve">Ultimately, founders succeed by prioritising product‑market fit and repeatable economics before courting large checks. When they do seek external capital, the goal should be partners who accelerate the business, not merely backers who provide cash. Industry writing and founder testimony converge on a simple rubric: demonstrate fundamentals, choose instruments that protect equity where strategic, and prefer fit over quick money. That discipline, combined with careful use of community and alternative funding routes, improves both outcomes and founder control. </w:t>
      </w:r>
      <w:hyperlink r:id="rId9">
        <w:r>
          <w:rPr>
            <w:color w:val="0000EE"/>
            <w:u w:val="single"/>
          </w:rPr>
          <w:t>[1]</w:t>
        </w:r>
      </w:hyperlink>
      <w:hyperlink r:id="rId14">
        <w:r>
          <w:rPr>
            <w:color w:val="0000EE"/>
            <w:u w:val="single"/>
          </w:rPr>
          <w:t>[4]</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(Grit Daily) - Paragraph 1, Paragraph 2, Paragraph 3, Paragraph 4, Paragraph 5, Paragraph 6, Paragraph 7, Paragraph 8, Paragraph 9 </w:t>
      </w:r>
      <w:r/>
    </w:p>
    <w:p>
      <w:pPr>
        <w:pStyle w:val="ListBullet"/>
        <w:spacing w:line="240" w:lineRule="auto"/>
        <w:ind w:left="720"/>
      </w:pPr>
      <w:r/>
      <w:hyperlink r:id="rId12">
        <w:r>
          <w:rPr>
            <w:color w:val="0000EE"/>
            <w:u w:val="single"/>
          </w:rPr>
          <w:t>[2]</w:t>
        </w:r>
      </w:hyperlink>
      <w:r>
        <w:t xml:space="preserve"> (StartupScience) - Paragraph 4, Paragraph 8 </w:t>
      </w:r>
      <w:r/>
    </w:p>
    <w:p>
      <w:pPr>
        <w:pStyle w:val="ListBullet"/>
        <w:spacing w:line="240" w:lineRule="auto"/>
        <w:ind w:left="720"/>
      </w:pPr>
      <w:r/>
      <w:hyperlink r:id="rId13">
        <w:r>
          <w:rPr>
            <w:color w:val="0000EE"/>
            <w:u w:val="single"/>
          </w:rPr>
          <w:t>[3]</w:t>
        </w:r>
      </w:hyperlink>
      <w:r>
        <w:t xml:space="preserve"> (Foundership) - Paragraph 6 </w:t>
      </w:r>
      <w:r/>
    </w:p>
    <w:p>
      <w:pPr>
        <w:pStyle w:val="ListBullet"/>
        <w:spacing w:line="240" w:lineRule="auto"/>
        <w:ind w:left="720"/>
      </w:pPr>
      <w:r/>
      <w:hyperlink r:id="rId14">
        <w:r>
          <w:rPr>
            <w:color w:val="0000EE"/>
            <w:u w:val="single"/>
          </w:rPr>
          <w:t>[4]</w:t>
        </w:r>
      </w:hyperlink>
      <w:r>
        <w:t xml:space="preserve"> (Forbes) - Paragraph 9 </w:t>
      </w:r>
      <w:r/>
    </w:p>
    <w:p>
      <w:pPr>
        <w:pStyle w:val="ListBullet"/>
        <w:spacing w:line="240" w:lineRule="auto"/>
        <w:ind w:left="720"/>
      </w:pPr>
      <w:r/>
      <w:hyperlink r:id="rId10">
        <w:r>
          <w:rPr>
            <w:color w:val="0000EE"/>
            <w:u w:val="single"/>
          </w:rPr>
          <w:t>[5]</w:t>
        </w:r>
      </w:hyperlink>
      <w:r>
        <w:t xml:space="preserve"> (NestedBiz) - Paragraph 2, Paragraph 8 </w:t>
      </w:r>
      <w:r/>
    </w:p>
    <w:p>
      <w:pPr>
        <w:pStyle w:val="ListBullet"/>
        <w:spacing w:line="240" w:lineRule="auto"/>
        <w:ind w:left="720"/>
      </w:pPr>
      <w:r/>
      <w:hyperlink r:id="rId11">
        <w:r>
          <w:rPr>
            <w:color w:val="0000EE"/>
            <w:u w:val="single"/>
          </w:rPr>
          <w:t>[6]</w:t>
        </w:r>
      </w:hyperlink>
      <w:r>
        <w:t xml:space="preserve"> (BestCompany / Community Sourced Capital) - Paragraph 2, Paragraph 5 </w:t>
      </w:r>
      <w:r/>
    </w:p>
    <w:p>
      <w:pPr>
        <w:pStyle w:val="ListBullet"/>
        <w:spacing w:line="240" w:lineRule="auto"/>
        <w:ind w:left="720"/>
      </w:pPr>
      <w:r/>
      <w:hyperlink r:id="rId15">
        <w:r>
          <w:rPr>
            <w:color w:val="0000EE"/>
            <w:u w:val="single"/>
          </w:rPr>
          <w:t>[7]</w:t>
        </w:r>
      </w:hyperlink>
      <w:r>
        <w:t xml:space="preserve"> (Brookings Institution)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https://gritdaily.com/securing-startup-funding-advice-from-seasoned-entrepreneurs/</w:t>
        </w:r>
      </w:hyperlink>
      <w:r>
        <w:t xml:space="preserve"> - Please view link - unable to able to access data</w:t>
      </w:r>
      <w:r/>
    </w:p>
    <w:p>
      <w:pPr>
        <w:pStyle w:val="ListNumber"/>
        <w:spacing w:line="240" w:lineRule="auto"/>
        <w:ind w:left="720"/>
      </w:pPr>
      <w:r/>
      <w:hyperlink r:id="rId12">
        <w:r>
          <w:rPr>
            <w:color w:val="0000EE"/>
            <w:u w:val="single"/>
          </w:rPr>
          <w:t>https://www.startupscience.io/products/funding-capital</w:t>
        </w:r>
      </w:hyperlink>
      <w:r>
        <w:t xml:space="preserve"> - StartupScience offers a comprehensive Funding &amp; Capital module that provides founders with smart, stage-specific guidance on financing their startups. The platform includes a dynamic, customizable system with tens of thousands of verified capital sources, such as global VC firms and local grant programs. Each listing is tagged by use case, geography, and lifecycle stage, ensuring founders access relevant funding options. Program managers can tailor the experience by adding, removing, or highlighting funding sources, creating a living capital infrastructure that grows with the startup ecosystem.</w:t>
      </w:r>
      <w:r/>
    </w:p>
    <w:p>
      <w:pPr>
        <w:pStyle w:val="ListNumber"/>
        <w:spacing w:line="240" w:lineRule="auto"/>
        <w:ind w:left="720"/>
      </w:pPr>
      <w:r/>
      <w:hyperlink r:id="rId13">
        <w:r>
          <w:rPr>
            <w:color w:val="0000EE"/>
            <w:u w:val="single"/>
          </w:rPr>
          <w:t>https://solutions.foundershiphq.com/raise-capital</w:t>
        </w:r>
      </w:hyperlink>
      <w:r>
        <w:t xml:space="preserve"> - Foundership's 'Raise Capital' service accelerates fundraising by systematically facilitating access to investors and lenders. Catering to Seed to Series A stage companies, it covers equity, debt, revenue-based financing, and strategic investments. The service addresses common challenges faced by startups, such as difficulty in connecting with the right investors and spending excessive time on unsuitable leads. By focusing solely on arranging high-quality investor meetings, Foundership aims to streamline the capital-raising process, allowing founders to concentrate on business development.</w:t>
      </w:r>
      <w:r/>
    </w:p>
    <w:p>
      <w:pPr>
        <w:pStyle w:val="ListNumber"/>
        <w:spacing w:line="240" w:lineRule="auto"/>
        <w:ind w:left="720"/>
      </w:pPr>
      <w:r/>
      <w:hyperlink r:id="rId14">
        <w:r>
          <w:rPr>
            <w:color w:val="0000EE"/>
            <w:u w:val="single"/>
          </w:rPr>
          <w:t>https://www.forbes.com/councils/forbesagencycouncil/2025/11/12/startup-funding-strategies-choosing-the-right-capital-at-the-right-time/</w:t>
        </w:r>
      </w:hyperlink>
      <w:r>
        <w:t xml:space="preserve"> - This Forbes article discusses various startup funding strategies, emphasizing the importance of choosing the right capital at the right time. It highlights funding sources like friends and family, angel investors, and venture capital, detailing their benefits and potential drawbacks. The piece advises founders to consider factors such as control, equity dilution, and the specific needs of their business when selecting funding options. It also underscores the significance of aligning funding choices with the startup's growth stage and long-term objectives.</w:t>
      </w:r>
      <w:r/>
    </w:p>
    <w:p>
      <w:pPr>
        <w:pStyle w:val="ListNumber"/>
        <w:spacing w:line="240" w:lineRule="auto"/>
        <w:ind w:left="720"/>
      </w:pPr>
      <w:r/>
      <w:hyperlink r:id="rId10">
        <w:r>
          <w:rPr>
            <w:color w:val="0000EE"/>
            <w:u w:val="single"/>
          </w:rPr>
          <w:t>https://www.nestedbiz.com/blog/business-funding-14/10-unconventional-ways-to-secure-startup-capital-in-2025-42</w:t>
        </w:r>
      </w:hyperlink>
      <w:r>
        <w:t xml:space="preserve"> - NestedBiz presents ten unconventional methods for securing startup capital in 2025, including pre-selling products through platforms like Kickstarter. This approach allows startups to fund production while building customer loyalty and validating market demand. By offering pre-orders at special pricing, startups can finance production, reduce the need for external investment, and gather customer feedback to inform product improvements. The article provides examples of companies that have successfully employed this strategy, highlighting its effectiveness in both funding and market validation.</w:t>
      </w:r>
      <w:r/>
    </w:p>
    <w:p>
      <w:pPr>
        <w:pStyle w:val="ListNumber"/>
        <w:spacing w:line="240" w:lineRule="auto"/>
        <w:ind w:left="720"/>
      </w:pPr>
      <w:r/>
      <w:hyperlink r:id="rId11">
        <w:r>
          <w:rPr>
            <w:color w:val="0000EE"/>
            <w:u w:val="single"/>
          </w:rPr>
          <w:t>https://bestcompany.com/crowd-funding/community-sourced-capital</w:t>
        </w:r>
      </w:hyperlink>
      <w:r>
        <w:t xml:space="preserve"> - Community Sourced Capital is a Washington State-based social purpose corporation that operates as a crowdfunding platform focused on helping small businesses thrive within their communities. Small businesses can appeal to their local community for business loans, leveraging personal connections and mission-aligned funders who share their vision. The platform boasts a 90% success rate for small businesses reaching their fundraising goals, emphasizing the effectiveness of community-driven funding approaches.</w:t>
      </w:r>
      <w:r/>
    </w:p>
    <w:p>
      <w:pPr>
        <w:pStyle w:val="ListNumber"/>
        <w:spacing w:line="240" w:lineRule="auto"/>
        <w:ind w:left="720"/>
      </w:pPr>
      <w:r/>
      <w:hyperlink r:id="rId15">
        <w:r>
          <w:rPr>
            <w:color w:val="0000EE"/>
            <w:u w:val="single"/>
          </w:rPr>
          <w:t>https://www.brookings.edu/wp-content/uploads/2016/06/2013-BBR-Capital-Alignment.pdf</w:t>
        </w:r>
      </w:hyperlink>
      <w:r>
        <w:t xml:space="preserve"> - The Brookings Institution's report discusses the concept of Aligned Capital Facilities (ACF) designed to bring together capital sources from various investment stakeholders. These facilities aim to address funding gaps in market transactions by providing early-stage or first-loss capital. The report outlines the structure and terms of ACFs, highlighting their role in attracting new investors to impact investing transactions and supporting development finance institutions. It emphasizes the importance of capital alignment in driving development and addressing funding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itdaily.com/securing-startup-funding-advice-from-seasoned-entrepreneurs/" TargetMode="External"/><Relationship Id="rId10" Type="http://schemas.openxmlformats.org/officeDocument/2006/relationships/hyperlink" Target="https://www.nestedbiz.com/blog/business-funding-14/10-unconventional-ways-to-secure-startup-capital-in-2025-42" TargetMode="External"/><Relationship Id="rId11" Type="http://schemas.openxmlformats.org/officeDocument/2006/relationships/hyperlink" Target="https://bestcompany.com/crowd-funding/community-sourced-capital" TargetMode="External"/><Relationship Id="rId12" Type="http://schemas.openxmlformats.org/officeDocument/2006/relationships/hyperlink" Target="https://www.startupscience.io/products/funding-capital" TargetMode="External"/><Relationship Id="rId13" Type="http://schemas.openxmlformats.org/officeDocument/2006/relationships/hyperlink" Target="https://solutions.foundershiphq.com/raise-capital" TargetMode="External"/><Relationship Id="rId14" Type="http://schemas.openxmlformats.org/officeDocument/2006/relationships/hyperlink" Target="https://www.forbes.com/councils/forbesagencycouncil/2025/11/12/startup-funding-strategies-choosing-the-right-capital-at-the-right-time/" TargetMode="External"/><Relationship Id="rId15" Type="http://schemas.openxmlformats.org/officeDocument/2006/relationships/hyperlink" Target="https://www.brookings.edu/wp-content/uploads/2016/06/2013-BBR-Capital-Alignment.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