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Litigation finance poised for accelerated growth in 2026 amid regulatory and operational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litigation finance market, after a turbulent 2025, looks set for renewed momentum in 2026 even as participants confront fresh regulatory and operational complexities. According to the analysis by JD Supra co-authored by Rebecca Berrebi, the final quarter of 2025 saw a sharp uptick in activity once proposed tax changes in the U.S. failed to survive procedural review, and new pools of private capital are now increasingly willing to back legal claims. </w:t>
      </w:r>
      <w:hyperlink r:id="rId9">
        <w:r>
          <w:rPr>
            <w:color w:val="0000EE"/>
            <w:u w:val="single"/>
          </w:rPr>
          <w:t>[1]</w:t>
        </w:r>
      </w:hyperlink>
      <w:r/>
    </w:p>
    <w:p>
      <w:r/>
      <w:r>
        <w:t xml:space="preserve">That renewed appetite is underpinned by the asset class’s attraction to investors seeking returns that are largely uncorrelated with public markets. Industry reports and market forecasts paint a picture of sustained expansion: market research firms project multi‑billion dollar growth over the coming decade, with some estimates putting the litigation funding investment market at roughly USD 53.6 billion by 2032 and others forecasting continued strong CAGR into 2033. These projections reflect rising legal costs, more complex commercial litigation, and broader institutional acceptance of third‑party funding. </w:t>
      </w:r>
      <w:hyperlink r:id="rId10">
        <w:r>
          <w:rPr>
            <w:color w:val="0000EE"/>
            <w:u w:val="single"/>
          </w:rPr>
          <w:t>[2]</w:t>
        </w:r>
      </w:hyperlink>
      <w:hyperlink r:id="rId11">
        <w:r>
          <w:rPr>
            <w:color w:val="0000EE"/>
            <w:u w:val="single"/>
          </w:rPr>
          <w:t>[6]</w:t>
        </w:r>
      </w:hyperlink>
      <w:hyperlink r:id="rId12">
        <w:r>
          <w:rPr>
            <w:color w:val="0000EE"/>
            <w:u w:val="single"/>
          </w:rPr>
          <w:t>[7]</w:t>
        </w:r>
      </w:hyperlink>
      <w:hyperlink r:id="rId13">
        <w:r>
          <w:rPr>
            <w:color w:val="0000EE"/>
            <w:u w:val="single"/>
          </w:rPr>
          <w:t>[4]</w:t>
        </w:r>
      </w:hyperlink>
      <w:r/>
    </w:p>
    <w:p>
      <w:r/>
      <w:r>
        <w:t xml:space="preserve">But the fundamentals that make litigation finance appealing also create distinctive risks. As JD Supra explains, deals frequently fail not because of a single technical flaw but because of three recurring fault lines: lack of trust, misunderstanding of bespoke deal terms, and delays that sap momentum , captured in the industry aphorism "Time kills all deals." These dynamics are amplified by the bespoke nature of funding structures; few standard templates exist and each transaction must be tailored to the facts of the claim. </w:t>
      </w:r>
      <w:hyperlink r:id="rId9">
        <w:r>
          <w:rPr>
            <w:color w:val="0000EE"/>
            <w:u w:val="single"/>
          </w:rPr>
          <w:t>[1]</w:t>
        </w:r>
      </w:hyperlink>
      <w:r/>
    </w:p>
    <w:p>
      <w:r/>
      <w:r>
        <w:t xml:space="preserve">Mitigating those risks requires practices that combine rigorous financial and legal discipline with candid behaviour from sponsors and claimants. JD Supra recommends that financed parties disclose material negatives early, and that funders be transparent about economics and sticking points so both sides share a common understanding. Complementary guides from practitioners emphasise the value of clear responsibility schedules, detailed term sheets and shared economic models to avoid late surprises and align incentives. </w:t>
      </w:r>
      <w:hyperlink r:id="rId9">
        <w:r>
          <w:rPr>
            <w:color w:val="0000EE"/>
            <w:u w:val="single"/>
          </w:rPr>
          <w:t>[1]</w:t>
        </w:r>
      </w:hyperlink>
      <w:hyperlink r:id="rId14">
        <w:r>
          <w:rPr>
            <w:color w:val="0000EE"/>
            <w:u w:val="single"/>
          </w:rPr>
          <w:t>[5]</w:t>
        </w:r>
      </w:hyperlink>
      <w:r/>
    </w:p>
    <w:p>
      <w:r/>
      <w:r>
        <w:t xml:space="preserve">The sector is also evolving technologically and structurally. Analysts tracking 2025 trends note growing use of data analytics and AI to improve case evaluation and portfolio construction, broader adoption of risk‑sharing fee arrangements and expansion into cross‑border financings. Those tools promise better selection and monitoring, but they also introduce new operational requirements and potential regulatory scrutiny as funders use proprietary models to quantify binary case risk. </w:t>
      </w:r>
      <w:hyperlink r:id="rId15">
        <w:r>
          <w:rPr>
            <w:color w:val="0000EE"/>
            <w:u w:val="single"/>
          </w:rPr>
          <w:t>[3]</w:t>
        </w:r>
      </w:hyperlink>
      <w:hyperlink r:id="rId11">
        <w:r>
          <w:rPr>
            <w:color w:val="0000EE"/>
            <w:u w:val="single"/>
          </w:rPr>
          <w:t>[6]</w:t>
        </w:r>
      </w:hyperlink>
      <w:r/>
    </w:p>
    <w:p>
      <w:r/>
      <w:r>
        <w:t xml:space="preserve">Regulation is becoming a material part of transaction design. JD Supra highlights state‑level initiatives requiring funder registration and greater discoverability of funding agreements, and flags California’s prohibition on lawyers sharing contingency fees with certain "alternative business structures." Market observers warn that compliance obligations, and divergent rules across jurisdictions, will need to be factored into deal economics and documentation going into 2026. </w:t>
      </w:r>
      <w:hyperlink r:id="rId9">
        <w:r>
          <w:rPr>
            <w:color w:val="0000EE"/>
            <w:u w:val="single"/>
          </w:rPr>
          <w:t>[1]</w:t>
        </w:r>
      </w:hyperlink>
      <w:r/>
    </w:p>
    <w:p>
      <w:r/>
      <w:r>
        <w:t xml:space="preserve">For investors, the sector’s growth forecasts come with explicit caveats. Commentators note persistent hazards such as adverse selection and information asymmetry that can produce binary returns; consequently, successful investors lean on diversified portfolios, strong law‑firm relationships and careful due diligence rather than treating single claims as standalone bets. Industry commentary also stresses that while technology can improve decision‑making, human judgment and transparent counterparty behaviour remain central to long‑term performance. </w:t>
      </w:r>
      <w:hyperlink r:id="rId14">
        <w:r>
          <w:rPr>
            <w:color w:val="0000EE"/>
            <w:u w:val="single"/>
          </w:rPr>
          <w:t>[5]</w:t>
        </w:r>
      </w:hyperlink>
      <w:hyperlink r:id="rId15">
        <w:r>
          <w:rPr>
            <w:color w:val="0000EE"/>
            <w:u w:val="single"/>
          </w:rPr>
          <w:t>[3]</w:t>
        </w:r>
      </w:hyperlink>
      <w:r/>
    </w:p>
    <w:p>
      <w:r/>
      <w:r>
        <w:t xml:space="preserve">As fresh capital enters the market and regulatory regimes mature, market participants who combine early candour, meticulous deal drafting, realistic timelines and technological rigour will be best placed to capture the upside. The coming year is likely to be busy, but the same structural attributes that make litigation finance attractive mean that careful process , not just capital , will determine which transactions close and which founder. JD Supra co‑authored the principal analysis with Rebecca Berrebi, reflecting practitioner perspectives on those enduring operational themes.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(JD Supra) - Paragraph 1, Paragraph 3, Paragraph 4, Paragraph 6, Paragraph 8</w:t>
      </w:r>
      <w:r/>
    </w:p>
    <w:p>
      <w:pPr>
        <w:pStyle w:val="ListBullet"/>
        <w:spacing w:line="240" w:lineRule="auto"/>
        <w:ind w:left="720"/>
      </w:pPr>
      <w:r/>
      <w:hyperlink r:id="rId10">
        <w:r>
          <w:rPr>
            <w:color w:val="0000EE"/>
            <w:u w:val="single"/>
          </w:rPr>
          <w:t>[2]</w:t>
        </w:r>
      </w:hyperlink>
      <w:r>
        <w:t xml:space="preserve"> (GlobeNewswire market report) - Paragraph 2</w:t>
      </w:r>
      <w:r/>
    </w:p>
    <w:p>
      <w:pPr>
        <w:pStyle w:val="ListBullet"/>
        <w:spacing w:line="240" w:lineRule="auto"/>
        <w:ind w:left="720"/>
      </w:pPr>
      <w:r/>
      <w:hyperlink r:id="rId15">
        <w:r>
          <w:rPr>
            <w:color w:val="0000EE"/>
            <w:u w:val="single"/>
          </w:rPr>
          <w:t>[3]</w:t>
        </w:r>
      </w:hyperlink>
      <w:r>
        <w:t xml:space="preserve"> (Remolitfin blog) - Paragraph 5, Paragraph 7</w:t>
      </w:r>
      <w:r/>
    </w:p>
    <w:p>
      <w:pPr>
        <w:pStyle w:val="ListBullet"/>
        <w:spacing w:line="240" w:lineRule="auto"/>
        <w:ind w:left="720"/>
      </w:pPr>
      <w:r/>
      <w:hyperlink r:id="rId13">
        <w:r>
          <w:rPr>
            <w:color w:val="0000EE"/>
            <w:u w:val="single"/>
          </w:rPr>
          <w:t>[4]</w:t>
        </w:r>
      </w:hyperlink>
      <w:r>
        <w:t xml:space="preserve"> (Global Market Statistics) - Paragraph 2</w:t>
      </w:r>
      <w:r/>
    </w:p>
    <w:p>
      <w:pPr>
        <w:pStyle w:val="ListBullet"/>
        <w:spacing w:line="240" w:lineRule="auto"/>
        <w:ind w:left="720"/>
      </w:pPr>
      <w:r/>
      <w:hyperlink r:id="rId14">
        <w:r>
          <w:rPr>
            <w:color w:val="0000EE"/>
            <w:u w:val="single"/>
          </w:rPr>
          <w:t>[5]</w:t>
        </w:r>
      </w:hyperlink>
      <w:r>
        <w:t xml:space="preserve"> (Altstreet investments blog) - Paragraph 4, Paragraph 7</w:t>
      </w:r>
      <w:r/>
    </w:p>
    <w:p>
      <w:pPr>
        <w:pStyle w:val="ListBullet"/>
        <w:spacing w:line="240" w:lineRule="auto"/>
        <w:ind w:left="720"/>
      </w:pPr>
      <w:r/>
      <w:hyperlink r:id="rId11">
        <w:r>
          <w:rPr>
            <w:color w:val="0000EE"/>
            <w:u w:val="single"/>
          </w:rPr>
          <w:t>[6]</w:t>
        </w:r>
      </w:hyperlink>
      <w:r>
        <w:t xml:space="preserve"> (LinkedIn market analysis) - Paragraph 2, Paragraph 5</w:t>
      </w:r>
      <w:r/>
    </w:p>
    <w:p>
      <w:pPr>
        <w:pStyle w:val="ListBullet"/>
        <w:spacing w:line="240" w:lineRule="auto"/>
        <w:ind w:left="720"/>
      </w:pPr>
      <w:r/>
      <w:hyperlink r:id="rId12">
        <w:r>
          <w:rPr>
            <w:color w:val="0000EE"/>
            <w:u w:val="single"/>
          </w:rPr>
          <w:t>[7]</w:t>
        </w:r>
      </w:hyperlink>
      <w:r>
        <w:t xml:space="preserve"> (LinkedIn market trends)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https://www.jdsupra.com/legalnews/avoiding-pitfalls-as-litigation-finance-9454264/</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https://www.globenewswire.com/news-release/2025/11/11/3185317/0/en/Litigation-Funding-Investment-Market-to-Reach-USD-53-6-Billion-by-2032-Expanding-at-a-CAGR-of-13-84-SNS-Insider.html</w:t>
        </w:r>
      </w:hyperlink>
      <w:r>
        <w:t xml:space="preserve"> - The litigation funding investment market is experiencing significant growth, projected to reach USD 53.6 billion by 2032, expanding at a compound annual growth rate (CAGR) of 13.84%. This surge is driven by rising legal costs, an increase in commercial litigation, and the broader adoption of third-party funding solutions across key regions such as the U.S., U.K., and Australia. Investors are attracted to litigation funding due to its non-correlation with other asset classes and the potential for attractive returns, even amid volatile capital market conditions.</w:t>
      </w:r>
      <w:r/>
    </w:p>
    <w:p>
      <w:pPr>
        <w:pStyle w:val="ListNumber"/>
        <w:spacing w:line="240" w:lineRule="auto"/>
        <w:ind w:left="720"/>
      </w:pPr>
      <w:r/>
      <w:hyperlink r:id="rId15">
        <w:r>
          <w:rPr>
            <w:color w:val="0000EE"/>
            <w:u w:val="single"/>
          </w:rPr>
          <w:t>https://www.remolitfin.com/blog/8-trends-in-litigation-finance-for-2025</w:t>
        </w:r>
      </w:hyperlink>
      <w:r>
        <w:t xml:space="preserve"> - The litigation finance sector is witnessing several emerging trends in 2025. These include the adoption of risk-sharing fee arrangements, increased use of data analytics for case evaluation, expansion into cross-border funding, recognition of litigation finance as an alternative asset class, heightened focus on regulatory compliance, and the integration of technology in case assessment. These developments reflect the industry's evolution and its response to economic conditions, technological advancements, and regulatory changes.</w:t>
      </w:r>
      <w:r/>
    </w:p>
    <w:p>
      <w:pPr>
        <w:pStyle w:val="ListNumber"/>
        <w:spacing w:line="240" w:lineRule="auto"/>
        <w:ind w:left="720"/>
      </w:pPr>
      <w:r/>
      <w:hyperlink r:id="rId13">
        <w:r>
          <w:rPr>
            <w:color w:val="0000EE"/>
            <w:u w:val="single"/>
          </w:rPr>
          <w:t>https://www.globalmarketstatistics.com/market-reports/litigation-funding-and-expenses-market-13852</w:t>
        </w:r>
      </w:hyperlink>
      <w:r>
        <w:t xml:space="preserve"> - North America remains the largest regional market for litigation funding and expenses, driven by a mature legal ecosystem, high frequency of class actions and commercial disputes, extensive use of third-party financing and insurance products, and growing acceptance among corporations and law firms of external funding solutions. The North American market was estimated at approximately USD 404.0 million in 2024, capturing about 42.0% share of the global market and expected to expand at a CAGR of 4.2% over the 2025–2033 forecast period.</w:t>
      </w:r>
      <w:r/>
    </w:p>
    <w:p>
      <w:pPr>
        <w:pStyle w:val="ListNumber"/>
        <w:spacing w:line="240" w:lineRule="auto"/>
        <w:ind w:left="720"/>
      </w:pPr>
      <w:r/>
      <w:hyperlink r:id="rId14">
        <w:r>
          <w:rPr>
            <w:color w:val="0000EE"/>
            <w:u w:val="single"/>
          </w:rPr>
          <w:t>https://altstreet.investments/blog/litigation-finance-investing-guide-legal-claims-asset-class</w:t>
        </w:r>
      </w:hyperlink>
      <w:r>
        <w:t xml:space="preserve"> - Litigation finance is increasingly recognised as a legitimate alternative investment, offering investors the potential for high returns uncorrelated with traditional markets. However, it carries unique complexities, including binary risk exposure, adverse selection, and information asymmetry. Effective portfolio construction and building long-term relationships with reputable law firms are essential strategies for managing these risks and ensuring successful investments in this sector.</w:t>
      </w:r>
      <w:r/>
    </w:p>
    <w:p>
      <w:pPr>
        <w:pStyle w:val="ListNumber"/>
        <w:spacing w:line="240" w:lineRule="auto"/>
        <w:ind w:left="720"/>
      </w:pPr>
      <w:r/>
      <w:hyperlink r:id="rId11">
        <w:r>
          <w:rPr>
            <w:color w:val="0000EE"/>
            <w:u w:val="single"/>
          </w:rPr>
          <w:t>https://www.linkedin.com/pulse/litigation-finance-market-size-share-trends-outlook-investment-acclc/</w:t>
        </w:r>
      </w:hyperlink>
      <w:r>
        <w:t xml:space="preserve"> - The litigation finance market is projected to grow at a compound annual growth rate (CAGR) of 16.4% from 2026 to 2033, reaching USD 61.2 billion by 2033. This growth is driven by factors such as the integration of AI and automation, which streamline operations and improve decision-making processes, and the increasing recognition of litigation finance as an alternative asset class, attracting institutional investors seeking uncorrelated, high-return assets.</w:t>
      </w:r>
      <w:r/>
    </w:p>
    <w:p>
      <w:pPr>
        <w:pStyle w:val="ListNumber"/>
        <w:spacing w:line="240" w:lineRule="auto"/>
        <w:ind w:left="720"/>
      </w:pPr>
      <w:r/>
      <w:hyperlink r:id="rId12">
        <w:r>
          <w:rPr>
            <w:color w:val="0000EE"/>
            <w:u w:val="single"/>
          </w:rPr>
          <w:t>https://www.linkedin.com/pulse/litigation-funding-expenses-market-trends-2025-insights-2tvxf/</w:t>
        </w:r>
      </w:hyperlink>
      <w:r>
        <w:t xml:space="preserve"> - The global litigation funding market was valued at over USD 13 billion in 2024 and is projected to exceed USD 22 billion by 2030, with a compound annual growth rate (CAGR) of 7.5%. Key drivers include the increasing complexity of commercial disputes and mass tort claims, the emphasis on access to justice for underfunded plaintiffs, and the use of litigation funding by enterprises to manage legal expenditures and mitigate the impact of prolonged legal battles.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avoiding-pitfalls-as-litigation-finance-9454264/" TargetMode="External"/><Relationship Id="rId10" Type="http://schemas.openxmlformats.org/officeDocument/2006/relationships/hyperlink" Target="https://www.globenewswire.com/news-release/2025/11/11/3185317/0/en/Litigation-Funding-Investment-Market-to-Reach-USD-53-6-Billion-by-2032-Expanding-at-a-CAGR-of-13-84-SNS-Insider.html" TargetMode="External"/><Relationship Id="rId11" Type="http://schemas.openxmlformats.org/officeDocument/2006/relationships/hyperlink" Target="https://www.linkedin.com/pulse/litigation-finance-market-size-share-trends-outlook-investment-acclc/" TargetMode="External"/><Relationship Id="rId12" Type="http://schemas.openxmlformats.org/officeDocument/2006/relationships/hyperlink" Target="https://www.linkedin.com/pulse/litigation-funding-expenses-market-trends-2025-insights-2tvxf/" TargetMode="External"/><Relationship Id="rId13" Type="http://schemas.openxmlformats.org/officeDocument/2006/relationships/hyperlink" Target="https://www.globalmarketstatistics.com/market-reports/litigation-funding-and-expenses-market-13852" TargetMode="External"/><Relationship Id="rId14" Type="http://schemas.openxmlformats.org/officeDocument/2006/relationships/hyperlink" Target="https://altstreet.investments/blog/litigation-finance-investing-guide-legal-claims-asset-class" TargetMode="External"/><Relationship Id="rId15" Type="http://schemas.openxmlformats.org/officeDocument/2006/relationships/hyperlink" Target="https://www.remolitfin.com/blog/8-trends-in-litigation-finance-for-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