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request for information enhances AI governance with human checkpoints to prevent data corruption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Your AI flows do not fail because the models suddenly turned against you; they fail because automation amplified unverified human input. Too many Copilot Studio agent flows treat form responses as authoritative, ingesting half‑completed, inconsistent or mistyped fields and propagating those errors into Dataverse, dashboards and downstream systems. That "obedient, not intelligent" behaviour creates systemic data corruption, not because the AI is flawed but because governance is absent.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Microsoft's Request for Information (RFI) action is designed to close that "data reliability gap" by reintroducing a concrete human checkpoint into an otherwise automated execution path. According to the Microsoft Learn guide, an RFI pauses an agent flow and delivers an actionable Outlook message containing required fields; the flow remains suspended until a designated reviewer completes and submits those fields. That pause turns ambiguous text into accountable data before the automation continues. </w:t>
      </w:r>
      <w:hyperlink r:id="rId12">
        <w:r>
          <w:rPr>
            <w:color w:val="0000EE"/>
            <w:u w:val="single"/>
          </w:rPr>
          <w:t>[2]</w:t>
        </w:r>
      </w:hyperlink>
      <w:hyperlink r:id="rId9">
        <w:r>
          <w:rPr>
            <w:color w:val="0000EE"/>
            <w:u w:val="single"/>
          </w:rPr>
          <w:t>[1]</w:t>
        </w:r>
      </w:hyperlink>
      <w:r/>
    </w:p>
    <w:p>
      <w:r/>
      <w:r>
        <w:t xml:space="preserve">Practically, RFI is more than a user prompt: it is a synchronous, enforceable gate. AI validation can flag missing or inconsistent inputs, producing structured outputs such as JSON "detailsValid:true/false" and reasons for failure, but that evaluation lacks final authority. The RFI converts the AI's observation into an auditable human decision: the recipient fills the precise missing fields in Outlook, their identity and timestamp are recorded, and the flow resumes only with verified values. That combination, AI detection plus human confirmation, creates a closed governance loop. </w:t>
      </w:r>
      <w:hyperlink r:id="rId9">
        <w:r>
          <w:rPr>
            <w:color w:val="0000EE"/>
            <w:u w:val="single"/>
          </w:rPr>
          <w:t>[1]</w:t>
        </w:r>
      </w:hyperlink>
      <w:hyperlink r:id="rId12">
        <w:r>
          <w:rPr>
            <w:color w:val="0000EE"/>
            <w:u w:val="single"/>
          </w:rPr>
          <w:t>[2]</w:t>
        </w:r>
      </w:hyperlink>
      <w:hyperlink r:id="rId11">
        <w:r>
          <w:rPr>
            <w:color w:val="0000EE"/>
            <w:u w:val="single"/>
          </w:rPr>
          <w:t>[4]</w:t>
        </w:r>
      </w:hyperlink>
      <w:r/>
    </w:p>
    <w:p>
      <w:r/>
      <w:r>
        <w:t xml:space="preserve">This human‑in‑the‑loop design addresses multiple failure modes. Nulls and incomplete entries that otherwise trigger silent failures are caught at origin; approvals based on misunderstood or omitted fields are prevented; and Dataverse relations are protected from fractured lookups and phantom records. Industry analyses warn repeatedly that poor input hygiene, redundant fields, inconsistent naming and unchecked free text, derails AI initiatives. Embedding RFIs directly into flows mitigates these classic data‑quality issues. </w:t>
      </w:r>
      <w:hyperlink r:id="rId10">
        <w:r>
          <w:rPr>
            <w:color w:val="0000EE"/>
            <w:u w:val="single"/>
          </w:rPr>
          <w:t>[3]</w:t>
        </w:r>
      </w:hyperlink>
      <w:hyperlink r:id="rId11">
        <w:r>
          <w:rPr>
            <w:color w:val="0000EE"/>
            <w:u w:val="single"/>
          </w:rPr>
          <w:t>[4]</w:t>
        </w:r>
      </w:hyperlink>
      <w:r/>
    </w:p>
    <w:p>
      <w:r/>
      <w:r>
        <w:t xml:space="preserve">Beyond error prevention, RFIs create traceability that compliance teams require. An RFI response becomes a discrete audit artefact: who supplied the correction, when they did so and exactly what they entered. Governance frameworks such as ISO, SOC and GDPR rely on answerable decision points; RFIs produce those points automatically inside the workflow. In audit scenarios, organisations can show a documented chain from AI evaluation to human sign‑off to final Dataverse state. </w:t>
      </w:r>
      <w:hyperlink r:id="rId9">
        <w:r>
          <w:rPr>
            <w:color w:val="0000EE"/>
            <w:u w:val="single"/>
          </w:rPr>
          <w:t>[1]</w:t>
        </w:r>
      </w:hyperlink>
      <w:hyperlink r:id="rId12">
        <w:r>
          <w:rPr>
            <w:color w:val="0000EE"/>
            <w:u w:val="single"/>
          </w:rPr>
          <w:t>[2]</w:t>
        </w:r>
      </w:hyperlink>
      <w:r/>
    </w:p>
    <w:p>
      <w:r/>
      <w:r>
        <w:t xml:space="preserve">Pairing generative validation with RFI yields a two‑factor control for data quality. The AI inspects and surfaces the logical problems; the human supplies contextual certainty. The Microsoft guidance and platform examples demonstrate how AI can prefill or identify required fields and how RFI messages can present only the missing elements, minimising friction while maximising certainty. That "Governance Loop" turns probabilistic judgements into defensible records. </w:t>
      </w:r>
      <w:hyperlink r:id="rId12">
        <w:r>
          <w:rPr>
            <w:color w:val="0000EE"/>
            <w:u w:val="single"/>
          </w:rPr>
          <w:t>[2]</w:t>
        </w:r>
      </w:hyperlink>
      <w:hyperlink r:id="rId9">
        <w:r>
          <w:rPr>
            <w:color w:val="0000EE"/>
            <w:u w:val="single"/>
          </w:rPr>
          <w:t>[1]</w:t>
        </w:r>
      </w:hyperlink>
      <w:r/>
    </w:p>
    <w:p>
      <w:r/>
      <w:r>
        <w:t xml:space="preserve">Ignoring RFI creates predictable operational and financial friction. Teams expend time reconciling corrupted records, rerunning flows and rebuilding reports; finance and compliance systems ingest suspect data; and the organisation accrues regulatory risk as auditors encounter unverifiable decisions. Vendor and platform documentation, and comparisons across automation offerings, show that solutions with explicit RFI or RFI‑like controls reduce manual cleanup and improve downstream reliability. </w:t>
      </w:r>
      <w:hyperlink r:id="rId13">
        <w:r>
          <w:rPr>
            <w:color w:val="0000EE"/>
            <w:u w:val="single"/>
          </w:rPr>
          <w:t>[6]</w:t>
        </w:r>
      </w:hyperlink>
      <w:hyperlink r:id="rId14">
        <w:r>
          <w:rPr>
            <w:color w:val="0000EE"/>
            <w:u w:val="single"/>
          </w:rPr>
          <w:t>[7]</w:t>
        </w:r>
      </w:hyperlink>
      <w:hyperlink r:id="rId15">
        <w:r>
          <w:rPr>
            <w:color w:val="0000EE"/>
            <w:u w:val="single"/>
          </w:rPr>
          <w:t>[5]</w:t>
        </w:r>
      </w:hyperlink>
      <w:r/>
    </w:p>
    <w:p>
      <w:r/>
      <w:r>
        <w:t xml:space="preserve">Implementing RFIs need not be liberticide for productivity. Best practice is to add RFI checkpoints where missing or questionable data could cause harm, facility access, safety approvals, financial postings, HR on‑boarding, not across every trivial step. Microsoft’s documentation outlines configuration steps, required fields and test patterns so teams can design minimal, targeted interruptions that enforce policy without creating unnecessary toil. Measured pauses are governance features, not flaws. </w:t>
      </w:r>
      <w:hyperlink r:id="rId12">
        <w:r>
          <w:rPr>
            <w:color w:val="0000EE"/>
            <w:u w:val="single"/>
          </w:rPr>
          <w:t>[2]</w:t>
        </w:r>
      </w:hyperlink>
      <w:hyperlink r:id="rId9">
        <w:r>
          <w:rPr>
            <w:color w:val="0000EE"/>
            <w:u w:val="single"/>
          </w:rPr>
          <w:t>[1]</w:t>
        </w:r>
      </w:hyperlink>
      <w:r/>
    </w:p>
    <w:p>
      <w:r/>
      <w:r>
        <w:t xml:space="preserve">Organisations that marry AI validation with RFI actions move from hopeful automation to provable automation. They shift from "the flow ran" to "the flow ran with verified inputs and a human attestation." That transition reduces silent failures, improves data lineage and converts abstract governance into tangible workflow behaviour. In short, RFI is the structural integrity your Copilot Studio flows need to survive real enterprise operations. </w:t>
      </w:r>
      <w:hyperlink r:id="rId9">
        <w:r>
          <w:rPr>
            <w:color w:val="0000EE"/>
            <w:u w:val="single"/>
          </w:rPr>
          <w:t>[1]</w:t>
        </w:r>
      </w:hyperlink>
      <w:hyperlink r:id="rId12">
        <w:r>
          <w:rPr>
            <w:color w:val="0000EE"/>
            <w:u w:val="single"/>
          </w:rPr>
          <w:t>[2]</w:t>
        </w:r>
      </w:hyperlink>
      <w:hyperlink r:id="rId10">
        <w:r>
          <w:rPr>
            <w:color w:val="0000EE"/>
            <w:u w:val="single"/>
          </w:rPr>
          <w:t>[3]</w:t>
        </w:r>
      </w:hyperlink>
      <w:r/>
    </w:p>
    <w:p>
      <w:r/>
      <w:r>
        <w:t xml:space="preserve">If you are rebuilding flows or retrofitting governance, prioritise RFIs where missing data creates compliance, safety or financial exposure. Use AI to detect and package the precise missing elements; use RFI to capture the accountable human correction; and log both stages for auditability. The modest seconds of pause buy you measurable confidence, fewer post‑incident fixes and a defendable control framework that auditors and governance teams can rely on. </w:t>
      </w:r>
      <w:hyperlink r:id="rId9">
        <w:r>
          <w:rPr>
            <w:color w:val="0000EE"/>
            <w:u w:val="single"/>
          </w:rPr>
          <w:t>[1]</w:t>
        </w:r>
      </w:hyperlink>
      <w:hyperlink r:id="rId12">
        <w:r>
          <w:rPr>
            <w:color w:val="0000EE"/>
            <w:u w:val="single"/>
          </w:rPr>
          <w:t>[2]</w:t>
        </w:r>
      </w:hyperlink>
      <w:hyperlink r:id="rId11">
        <w:r>
          <w:rPr>
            <w:color w:val="0000EE"/>
            <w:u w:val="single"/>
          </w:rPr>
          <w:t>[4]</w:t>
        </w:r>
      </w:hyperlink>
      <w:hyperlink r:id="rId10">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(365community.online) - Paragraph 1, Paragraph 2, Paragraph 3, Paragraph 4, Paragraph 9, Paragraph 10</w:t>
      </w:r>
      <w:r/>
    </w:p>
    <w:p>
      <w:pPr>
        <w:pStyle w:val="ListBullet"/>
        <w:spacing w:line="240" w:lineRule="auto"/>
        <w:ind w:left="720"/>
      </w:pPr>
      <w:r/>
      <w:hyperlink r:id="rId12">
        <w:r>
          <w:rPr>
            <w:color w:val="0000EE"/>
            <w:u w:val="single"/>
          </w:rPr>
          <w:t>[2]</w:t>
        </w:r>
      </w:hyperlink>
      <w:r>
        <w:t xml:space="preserve"> (Microsoft Learn) - Paragraph 2, Paragraph 3, Paragraph 6, Paragraph 8, Paragraph 9, Paragraph 10</w:t>
      </w:r>
      <w:r/>
    </w:p>
    <w:p>
      <w:pPr>
        <w:pStyle w:val="ListBullet"/>
        <w:spacing w:line="240" w:lineRule="auto"/>
        <w:ind w:left="720"/>
      </w:pPr>
      <w:r/>
      <w:hyperlink r:id="rId10">
        <w:r>
          <w:rPr>
            <w:color w:val="0000EE"/>
            <w:u w:val="single"/>
          </w:rPr>
          <w:t>[3]</w:t>
        </w:r>
      </w:hyperlink>
      <w:r>
        <w:t xml:space="preserve"> (Six &amp; Flow) - Paragraph 1, Paragraph 4, Paragraph 9</w:t>
      </w:r>
      <w:r/>
    </w:p>
    <w:p>
      <w:pPr>
        <w:pStyle w:val="ListBullet"/>
        <w:spacing w:line="240" w:lineRule="auto"/>
        <w:ind w:left="720"/>
      </w:pPr>
      <w:r/>
      <w:hyperlink r:id="rId11">
        <w:r>
          <w:rPr>
            <w:color w:val="0000EE"/>
            <w:u w:val="single"/>
          </w:rPr>
          <w:t>[4]</w:t>
        </w:r>
      </w:hyperlink>
      <w:r>
        <w:t xml:space="preserve"> (Harvard Business School) - Paragraph 1, Paragraph 3, Paragraph 10</w:t>
      </w:r>
      <w:r/>
    </w:p>
    <w:p>
      <w:pPr>
        <w:pStyle w:val="ListBullet"/>
        <w:spacing w:line="240" w:lineRule="auto"/>
        <w:ind w:left="720"/>
      </w:pPr>
      <w:r/>
      <w:hyperlink r:id="rId15">
        <w:r>
          <w:rPr>
            <w:color w:val="0000EE"/>
            <w:u w:val="single"/>
          </w:rPr>
          <w:t>[5]</w:t>
        </w:r>
      </w:hyperlink>
      <w:r>
        <w:t xml:space="preserve"> (V7 Labs) - Paragraph 7</w:t>
      </w:r>
      <w:r/>
    </w:p>
    <w:p>
      <w:pPr>
        <w:pStyle w:val="ListBullet"/>
        <w:spacing w:line="240" w:lineRule="auto"/>
        <w:ind w:left="720"/>
      </w:pPr>
      <w:r/>
      <w:hyperlink r:id="rId13">
        <w:r>
          <w:rPr>
            <w:color w:val="0000EE"/>
            <w:u w:val="single"/>
          </w:rPr>
          <w:t>[6]</w:t>
        </w:r>
      </w:hyperlink>
      <w:r>
        <w:t xml:space="preserve"> (ClearFeed Help Center) - Paragraph 7</w:t>
      </w:r>
      <w:r/>
    </w:p>
    <w:p>
      <w:pPr>
        <w:pStyle w:val="ListBullet"/>
        <w:spacing w:line="240" w:lineRule="auto"/>
        <w:ind w:left="720"/>
      </w:pPr>
      <w:r/>
      <w:hyperlink r:id="rId14">
        <w:r>
          <w:rPr>
            <w:color w:val="0000EE"/>
            <w:u w:val="single"/>
          </w:rPr>
          <w:t>[7]</w:t>
        </w:r>
      </w:hyperlink>
      <w:r>
        <w:t xml:space="preserve"> (Zapier)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https://365community.online/why-your-ai-flows-fail-the-rfi-fix-explained</w:t>
        </w:r>
      </w:hyperlink>
      <w:r>
        <w:t xml:space="preserve"> - Please view link - unable to able to access data</w:t>
      </w:r>
      <w:r/>
    </w:p>
    <w:p>
      <w:pPr>
        <w:pStyle w:val="ListNumber"/>
        <w:spacing w:line="240" w:lineRule="auto"/>
        <w:ind w:left="720"/>
      </w:pPr>
      <w:r/>
      <w:hyperlink r:id="rId12">
        <w:r>
          <w:rPr>
            <w:color w:val="0000EE"/>
            <w:u w:val="single"/>
          </w:rPr>
          <w:t>https://learn.microsoft.com/en-us/microsoft-copilot-studio/flows-request-for-information</w:t>
        </w:r>
      </w:hyperlink>
      <w:r>
        <w:t xml:space="preserve"> - This Microsoft Learn article explains the 'Request for Information' (RFI) action in Copilot Studio's agent flows. It details how the RFI action pauses workflow execution to collect input from designated human reviewers before proceeding, ensuring human oversight in automated processes. The guide provides step-by-step instructions on setting up and testing the RFI action within agent flows, including configuring required fields, adding inputs, and handling responses. It also discusses the importance of human validation in maintaining high-quality AI workflows and offers best practices for implementation.</w:t>
      </w:r>
      <w:r/>
    </w:p>
    <w:p>
      <w:pPr>
        <w:pStyle w:val="ListNumber"/>
        <w:spacing w:line="240" w:lineRule="auto"/>
        <w:ind w:left="720"/>
      </w:pPr>
      <w:r/>
      <w:hyperlink r:id="rId10">
        <w:r>
          <w:rPr>
            <w:color w:val="0000EE"/>
            <w:u w:val="single"/>
          </w:rPr>
          <w:t>https://www.sixandflow.com/marketing-blog/dont-let-bad-data-derail-your-ai-success</w:t>
        </w:r>
      </w:hyperlink>
      <w:r>
        <w:t xml:space="preserve"> - This article from Six &amp; Flow highlights the critical impact of bad data on AI outcomes. It discusses how redundant and inconsistently phrased fields in CRM systems can lead to confusion and inaccuracies, ultimately derailing AI initiatives. The piece emphasizes the importance of data governance and the need for clear, standardized data collection practices to ensure AI systems function effectively. It also provides examples of common data issues and offers strategies for organizations to improve data quality, thereby enhancing the success of their AI projects.</w:t>
      </w:r>
      <w:r/>
    </w:p>
    <w:p>
      <w:pPr>
        <w:pStyle w:val="ListNumber"/>
        <w:spacing w:line="240" w:lineRule="auto"/>
        <w:ind w:left="720"/>
      </w:pPr>
      <w:r/>
      <w:hyperlink r:id="rId11">
        <w:r>
          <w:rPr>
            <w:color w:val="0000EE"/>
            <w:u w:val="single"/>
          </w:rPr>
          <w:t>https://www.hbs.edu/ris/Publication%20Files/input_inaccuracy_4f53c7a6-0843-453f-890b-7452ca824a5e.pdf</w:t>
        </w:r>
      </w:hyperlink>
      <w:r>
        <w:t xml:space="preserve"> - This Harvard Business School paper examines the effects of input inaccuracies on AI tools. It discusses how errors in input data can lead to poor performance in AI systems, using examples like demand forecasting tools that rely on historical sales data. The paper highlights the 'garbage in, garbage out' phenomenon, where inaccurate inputs result in unreliable AI outputs. It underscores the necessity for accurate and sufficient data to achieve effective AI-driven decision-making and suggests that organizations must address data quality issues to leverage AI tools successfully.</w:t>
      </w:r>
      <w:r/>
    </w:p>
    <w:p>
      <w:pPr>
        <w:pStyle w:val="ListNumber"/>
        <w:spacing w:line="240" w:lineRule="auto"/>
        <w:ind w:left="720"/>
      </w:pPr>
      <w:r/>
      <w:hyperlink r:id="rId15">
        <w:r>
          <w:rPr>
            <w:color w:val="0000EE"/>
            <w:u w:val="single"/>
          </w:rPr>
          <w:t>https://www.v7labs.com/automations/request-for-information</w:t>
        </w:r>
      </w:hyperlink>
      <w:r>
        <w:t xml:space="preserve"> - V7 Labs offers an AI-driven automation platform that includes Request for Information (RFI) processing capabilities. This service enables organizations to automate the collection and processing of information requests, streamlining workflows and reducing manual intervention. The platform is designed to enhance productivity by automating tasks such as data extraction and validation, ensuring that information is accurate and up-to-date. V7 Labs emphasizes the importance of integrating AI into business processes to improve efficiency and decision-making, particularly in handling complex information requests.</w:t>
      </w:r>
      <w:r/>
    </w:p>
    <w:p>
      <w:pPr>
        <w:pStyle w:val="ListNumber"/>
        <w:spacing w:line="240" w:lineRule="auto"/>
        <w:ind w:left="720"/>
      </w:pPr>
      <w:r/>
      <w:hyperlink r:id="rId13">
        <w:r>
          <w:rPr>
            <w:color w:val="0000EE"/>
            <w:u w:val="single"/>
          </w:rPr>
          <w:t>https://docs.clearfeed.ai/clearfeed-help-center/clearfeed-helpdesk/automations/automation-actions</w:t>
        </w:r>
      </w:hyperlink>
      <w:r>
        <w:t xml:space="preserve"> - ClearFeed's Help Center provides documentation on automation actions within their platform. It details various automation features, including the 'Auto-fill Fields' action, which utilizes AI to automatically extract or generate values and populate them into custom fields or store them as automation variables. This functionality aims to enhance workflow efficiency by reducing manual data entry and ensuring consistency across systems. The documentation includes configuration steps, use cases, and best practices for implementing automation actions to optimize business processes.</w:t>
      </w:r>
      <w:r/>
    </w:p>
    <w:p>
      <w:pPr>
        <w:pStyle w:val="ListNumber"/>
        <w:spacing w:line="240" w:lineRule="auto"/>
        <w:ind w:left="720"/>
      </w:pPr>
      <w:r/>
      <w:hyperlink r:id="rId14">
        <w:r>
          <w:rPr>
            <w:color w:val="0000EE"/>
            <w:u w:val="single"/>
          </w:rPr>
          <w:t>https://zapier.com/apps/request-tracker/integrations/ai</w:t>
        </w:r>
      </w:hyperlink>
      <w:r>
        <w:t xml:space="preserve"> - Zapier's integration between Request Tracker (RT) and AI by Zapier enables users to automate workflows by connecting RT with AI tools. This integration allows for no-code AI automation, providing full audit trails and controls, and ensuring compliance with standards like SOC 2 and GDPR. Users can build visual workflows that connect over 8,000 apps and 450+ AI tools, facilitating seamless data flow and task automation. The integration aims to simplify the process of incorporating AI into existing systems, enhancing operational efficiency and decision-making capabilities.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365community.online/why-your-ai-flows-fail-the-rfi-fix-explained" TargetMode="External"/><Relationship Id="rId10" Type="http://schemas.openxmlformats.org/officeDocument/2006/relationships/hyperlink" Target="https://www.sixandflow.com/marketing-blog/dont-let-bad-data-derail-your-ai-success" TargetMode="External"/><Relationship Id="rId11" Type="http://schemas.openxmlformats.org/officeDocument/2006/relationships/hyperlink" Target="https://www.hbs.edu/ris/Publication%20Files/input_inaccuracy_4f53c7a6-0843-453f-890b-7452ca824a5e.pdf" TargetMode="External"/><Relationship Id="rId12" Type="http://schemas.openxmlformats.org/officeDocument/2006/relationships/hyperlink" Target="https://learn.microsoft.com/en-us/microsoft-copilot-studio/flows-request-for-information" TargetMode="External"/><Relationship Id="rId13" Type="http://schemas.openxmlformats.org/officeDocument/2006/relationships/hyperlink" Target="https://docs.clearfeed.ai/clearfeed-help-center/clearfeed-helpdesk/automations/automation-actions" TargetMode="External"/><Relationship Id="rId14" Type="http://schemas.openxmlformats.org/officeDocument/2006/relationships/hyperlink" Target="https://zapier.com/apps/request-tracker/integrations/ai" TargetMode="External"/><Relationship Id="rId15" Type="http://schemas.openxmlformats.org/officeDocument/2006/relationships/hyperlink" Target="https://www.v7labs.com/automations/request-for-inform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