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Explainable AI shifts from technical curiosity to strategic boardroom essential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Explainable AI is moving from technical curiosity to boardroom necessity as executives confront the twin pressures of regulatory scrutiny and the need to scale AI responsibly. According to the report by CEO Hangout, 91% of organisations admit they are unprepared to scale AI responsibly, while new rules such as the EU AI Act are increasing demand for clear, auditable explanations of automated decisions. This has made transparency not only an ethical imperative but a commercial one, with firms reporting improved model accuracy and measurable profit growth when explainability is embedded into workflows. </w:t>
      </w:r>
      <w:hyperlink r:id="rId9">
        <w:r>
          <w:rPr>
            <w:color w:val="0000EE"/>
            <w:u w:val="single"/>
          </w:rPr>
          <w:t>[1]</w:t>
        </w:r>
      </w:hyperlink>
      <w:hyperlink r:id="rId9">
        <w:r>
          <w:rPr>
            <w:color w:val="0000EE"/>
            <w:u w:val="single"/>
          </w:rPr>
          <w:t>[2]</w:t>
        </w:r>
      </w:hyperlink>
      <w:r/>
    </w:p>
    <w:p>
      <w:r/>
      <w:r>
        <w:t xml:space="preserve">At the heart of the XAI toolkit are three complementary techniques suited to different executive needs. SHAP (Shapley Additive Explanations) apportions feature-level credit based on cooperative game theory, yielding mathematically consistent attributions useful in audits and high‑risk contexts. LIME (Local Interpretable Model‑Agnostic Explanations) builds simple surrogate models around individual predictions to provide quick, local insight. Counterfactual explanations frame "what‑if" scenarios that translate model outputs into actionable changes for customers or planners. CEO Hangout summarises these strengths and trade‑offs and recommends matching the technique to the use case. </w:t>
      </w:r>
      <w:hyperlink r:id="rId9">
        <w:r>
          <w:rPr>
            <w:color w:val="0000EE"/>
            <w:u w:val="single"/>
          </w:rPr>
          <w:t>[1]</w:t>
        </w:r>
      </w:hyperlink>
      <w:r/>
    </w:p>
    <w:p>
      <w:r/>
      <w:r>
        <w:t xml:space="preserve">SHAP’s rigorous basis makes it attractive for regulatory defence and risk weighting, though it can be computationally expensive. CEO Hangout highlights a practical example where SHAP paired with XGBoost revealed behavioural drivers behind public attitudes in a COVID‑19 study, exposing relationships that simpler models missed. Academic and industry sources echo that SHAP’s audit trail helps satisfy demands for reproducibility and accountability in sensitive domains such as finance and healthcare. </w:t>
      </w:r>
      <w:hyperlink r:id="rId9">
        <w:r>
          <w:rPr>
            <w:color w:val="0000EE"/>
            <w:u w:val="single"/>
          </w:rPr>
          <w:t>[1]</w:t>
        </w:r>
      </w:hyperlink>
      <w:hyperlink r:id="rId10">
        <w:r>
          <w:rPr>
            <w:color w:val="0000EE"/>
            <w:u w:val="single"/>
          </w:rPr>
          <w:t>[3]</w:t>
        </w:r>
      </w:hyperlink>
      <w:hyperlink r:id="rId11">
        <w:r>
          <w:rPr>
            <w:color w:val="0000EE"/>
            <w:u w:val="single"/>
          </w:rPr>
          <w:t>[7]</w:t>
        </w:r>
      </w:hyperlink>
      <w:r/>
    </w:p>
    <w:p>
      <w:r/>
      <w:r>
        <w:t xml:space="preserve">LIME is valuable when speed and interpretability matter. By perturbing inputs and fitting an interpretable surrogate, it helps technical teams and business users validate whether a model is learning meaningful patterns or spurious correlations, for example ensuring an image classifier focuses on content rather than watermarks. However, LIME’s sampling can yield inconsistent explanations, so it is better suited to model validation and exploratory checks than to formal compliance evidence. This characterisation appears across practitioner guides and training materials. </w:t>
      </w:r>
      <w:hyperlink r:id="rId9">
        <w:r>
          <w:rPr>
            <w:color w:val="0000EE"/>
            <w:u w:val="single"/>
          </w:rPr>
          <w:t>[1]</w:t>
        </w:r>
      </w:hyperlink>
      <w:hyperlink r:id="rId12">
        <w:r>
          <w:rPr>
            <w:color w:val="0000EE"/>
            <w:u w:val="single"/>
          </w:rPr>
          <w:t>[4]</w:t>
        </w:r>
      </w:hyperlink>
      <w:hyperlink r:id="rId13">
        <w:r>
          <w:rPr>
            <w:color w:val="0000EE"/>
            <w:u w:val="single"/>
          </w:rPr>
          <w:t>[6]</w:t>
        </w:r>
      </w:hyperlink>
      <w:r/>
    </w:p>
    <w:p>
      <w:r/>
      <w:r>
        <w:t xml:space="preserve">Counterfactual explanations convert opacity into guidance: rather than only describing why a decision occurred, they show the minimal changes needed to alter an outcome , "If income were $5,000 higher, the loan would have been approved" , making them highly effective for customer communication and strategic scenario testing. While counterfactuals are actionable, they do not by themselves explain underlying causal mechanisms, so they are most powerful when used alongside attribution methods. This practical distinction is emphasised in both business and academic summaries. </w:t>
      </w:r>
      <w:hyperlink r:id="rId9">
        <w:r>
          <w:rPr>
            <w:color w:val="0000EE"/>
            <w:u w:val="single"/>
          </w:rPr>
          <w:t>[1]</w:t>
        </w:r>
      </w:hyperlink>
      <w:hyperlink r:id="rId12">
        <w:r>
          <w:rPr>
            <w:color w:val="0000EE"/>
            <w:u w:val="single"/>
          </w:rPr>
          <w:t>[4]</w:t>
        </w:r>
      </w:hyperlink>
      <w:hyperlink r:id="rId11">
        <w:r>
          <w:rPr>
            <w:color w:val="0000EE"/>
            <w:u w:val="single"/>
          </w:rPr>
          <w:t>[7]</w:t>
        </w:r>
      </w:hyperlink>
      <w:r/>
    </w:p>
    <w:p>
      <w:r/>
      <w:r>
        <w:t xml:space="preserve">Adoption requires governance and operational discipline. Best practice guidance from CEO Hangout and industry commentators recommends cross‑functional AI governance committees, a centralised inventory of models, and continuous monitoring for model drift, fairness and data quality. The committee should establish a risk taxonomy that maps the sensitivity of use cases to the level of explainability required, so that high‑stakes applications receive rigorous, defensible explanations. Automated monitoring and documentation become the compliance backbone for organisations that acknowledge their current unpreparedness. </w:t>
      </w:r>
      <w:hyperlink r:id="rId9">
        <w:r>
          <w:rPr>
            <w:color w:val="0000EE"/>
            <w:u w:val="single"/>
          </w:rPr>
          <w:t>[1]</w:t>
        </w:r>
      </w:hyperlink>
      <w:hyperlink r:id="rId14">
        <w:r>
          <w:rPr>
            <w:color w:val="0000EE"/>
            <w:u w:val="single"/>
          </w:rPr>
          <w:t>[5]</w:t>
        </w:r>
      </w:hyperlink>
      <w:hyperlink r:id="rId13">
        <w:r>
          <w:rPr>
            <w:color w:val="0000EE"/>
            <w:u w:val="single"/>
          </w:rPr>
          <w:t>[6]</w:t>
        </w:r>
      </w:hyperlink>
      <w:r/>
    </w:p>
    <w:p>
      <w:r/>
      <w:r>
        <w:t xml:space="preserve">Business leaders must also bridge the skills gap. CEO Hangout notes that while a growing share of CEOs use generative AI for strategy, far fewer organisations feel they possess the in‑house expertise to exploit it fully. Practical steps include selecting no‑code or low‑code XAI tools for business analysts, embedding narrative layers that translate technical outputs into plain language, and fostering a human‑in‑the‑loop culture where AI informs but does not replace judgement. Industry cases show that narrative‑driven explanations improve comprehension among general audiences and help convert insight into action. </w:t>
      </w:r>
      <w:hyperlink r:id="rId9">
        <w:r>
          <w:rPr>
            <w:color w:val="0000EE"/>
            <w:u w:val="single"/>
          </w:rPr>
          <w:t>[1]</w:t>
        </w:r>
      </w:hyperlink>
      <w:hyperlink r:id="rId13">
        <w:r>
          <w:rPr>
            <w:color w:val="0000EE"/>
            <w:u w:val="single"/>
          </w:rPr>
          <w:t>[6]</w:t>
        </w:r>
      </w:hyperlink>
      <w:r/>
    </w:p>
    <w:p>
      <w:r/>
      <w:r>
        <w:t xml:space="preserve">Real‑world implementations demonstrate XAI’s commercial payoff when integrated with operational change. CEO Hangout cites Majid Al Futtaim Retail’s move to a governed hybrid cloud analytics platform, which halved response times for business requests and made AI outputs traceable and actionable across 450 sites. Other resources document XAI’s role in reducing bias, improving decision accuracy and strengthening regulatory compliance in healthcare, banking and autonomous systems. Together these examples underline that explainability is a strategic capability that supports growth as well as risk management. </w:t>
      </w:r>
      <w:hyperlink r:id="rId9">
        <w:r>
          <w:rPr>
            <w:color w:val="0000EE"/>
            <w:u w:val="single"/>
          </w:rPr>
          <w:t>[1]</w:t>
        </w:r>
      </w:hyperlink>
      <w:hyperlink r:id="rId10">
        <w:r>
          <w:rPr>
            <w:color w:val="0000EE"/>
            <w:u w:val="single"/>
          </w:rPr>
          <w:t>[3]</w:t>
        </w:r>
      </w:hyperlink>
      <w:hyperlink r:id="rId13">
        <w:r>
          <w:rPr>
            <w:color w:val="0000EE"/>
            <w:u w:val="single"/>
          </w:rPr>
          <w:t>[6]</w:t>
        </w:r>
      </w:hyperlink>
      <w:hyperlink r:id="rId11">
        <w:r>
          <w:rPr>
            <w:color w:val="0000EE"/>
            <w:u w:val="single"/>
          </w:rPr>
          <w:t>[7]</w:t>
        </w:r>
      </w:hyperlink>
      <w:r/>
    </w:p>
    <w:p>
      <w:r/>
      <w:r>
        <w:t xml:space="preserve">Explainable AI should be regarded as an enabler of digital trust rather than a constraint on innovation. According to Informed Solutions and other analysts, companies that adopt XAI best practices often see improved revenue and EBITDA performance, reflecting both operational gains and stronger stakeholder confidence. The recommended path is pragmatic: classify use cases by risk, choose the appropriate explainability technique, institute governance and monitoring, and preserve human oversight for final decisions. Done well, XAI converts opaque models into dependable advisors that executives can justify to boards, regulators and customers. </w:t>
      </w:r>
      <w:hyperlink r:id="rId9">
        <w:r>
          <w:rPr>
            <w:color w:val="0000EE"/>
            <w:u w:val="single"/>
          </w:rPr>
          <w:t>[1]</w:t>
        </w:r>
      </w:hyperlink>
      <w:hyperlink r:id="rId14">
        <w:r>
          <w:rPr>
            <w:color w:val="0000EE"/>
            <w:u w:val="single"/>
          </w:rPr>
          <w:t>[5]</w:t>
        </w:r>
      </w:hyperlink>
      <w:r/>
    </w:p>
    <w:p>
      <w:r/>
      <w:r>
        <w:t xml:space="preserve">The promise of XAI is pragmatic: clearer explanations make AI decisions auditable, actionable and more readily accepted by stakeholders. As regulatory expectations harden and business leaders demand defensible insights, organisations that invest in explainability, governance and human‑centred workflows will be better placed to scale AI responsibly and capture the strategic upside. </w:t>
      </w:r>
      <w:hyperlink r:id="rId9">
        <w:r>
          <w:rPr>
            <w:color w:val="0000EE"/>
            <w:u w:val="single"/>
          </w:rPr>
          <w:t>[1]</w:t>
        </w:r>
      </w:hyperlink>
      <w:hyperlink r:id="rId9">
        <w:r>
          <w:rPr>
            <w:color w:val="0000EE"/>
            <w:u w:val="single"/>
          </w:rPr>
          <w:t>[2]</w:t>
        </w:r>
      </w:hyperlink>
      <w:hyperlink r:id="rId10">
        <w:r>
          <w:rPr>
            <w:color w:val="0000EE"/>
            <w:u w:val="single"/>
          </w:rPr>
          <w:t>[3]</w:t>
        </w:r>
      </w:hyperlink>
      <w:hyperlink r:id="rId14">
        <w:r>
          <w:rPr>
            <w:color w:val="0000EE"/>
            <w:u w:val="single"/>
          </w:rPr>
          <w:t>[5]</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(CEO Hangout) - Paragraph 1, Paragraph 2, Paragraph 3, Paragraph 4, Paragraph 5, Paragraph 6, Paragraph 7, Paragraph 8, Paragraph 9</w:t>
      </w:r>
      <w:r/>
    </w:p>
    <w:p>
      <w:pPr>
        <w:pStyle w:val="ListBullet"/>
        <w:spacing w:line="240" w:lineRule="auto"/>
        <w:ind w:left="720"/>
      </w:pPr>
      <w:r/>
      <w:hyperlink r:id="rId10">
        <w:r>
          <w:rPr>
            <w:color w:val="0000EE"/>
            <w:u w:val="single"/>
          </w:rPr>
          <w:t>[3]</w:t>
        </w:r>
      </w:hyperlink>
      <w:r>
        <w:t xml:space="preserve"> (Oxford Training Centre) - Paragraph 3, Paragraph 8</w:t>
      </w:r>
      <w:r/>
    </w:p>
    <w:p>
      <w:pPr>
        <w:pStyle w:val="ListBullet"/>
        <w:spacing w:line="240" w:lineRule="auto"/>
        <w:ind w:left="720"/>
      </w:pPr>
      <w:r/>
      <w:hyperlink r:id="rId12">
        <w:r>
          <w:rPr>
            <w:color w:val="0000EE"/>
            <w:u w:val="single"/>
          </w:rPr>
          <w:t>[4]</w:t>
        </w:r>
      </w:hyperlink>
      <w:r>
        <w:t xml:space="preserve"> (SolveForce Communications) - Paragraph 4, Paragraph 5</w:t>
      </w:r>
      <w:r/>
    </w:p>
    <w:p>
      <w:pPr>
        <w:pStyle w:val="ListBullet"/>
        <w:spacing w:line="240" w:lineRule="auto"/>
        <w:ind w:left="720"/>
      </w:pPr>
      <w:r/>
      <w:hyperlink r:id="rId14">
        <w:r>
          <w:rPr>
            <w:color w:val="0000EE"/>
            <w:u w:val="single"/>
          </w:rPr>
          <w:t>[5]</w:t>
        </w:r>
      </w:hyperlink>
      <w:r>
        <w:t xml:space="preserve"> (Informed Solutions) - Paragraph 6, Paragraph 9</w:t>
      </w:r>
      <w:r/>
    </w:p>
    <w:p>
      <w:pPr>
        <w:pStyle w:val="ListBullet"/>
        <w:spacing w:line="240" w:lineRule="auto"/>
        <w:ind w:left="720"/>
      </w:pPr>
      <w:r/>
      <w:hyperlink r:id="rId13">
        <w:r>
          <w:rPr>
            <w:color w:val="0000EE"/>
            <w:u w:val="single"/>
          </w:rPr>
          <w:t>[6]</w:t>
        </w:r>
      </w:hyperlink>
      <w:r>
        <w:t xml:space="preserve"> (ICAIIC2025 presentation PDF) - Paragraph 4, Paragraph 6, Paragraph 8</w:t>
      </w:r>
      <w:r/>
    </w:p>
    <w:p>
      <w:pPr>
        <w:pStyle w:val="ListBullet"/>
        <w:spacing w:line="240" w:lineRule="auto"/>
        <w:ind w:left="720"/>
      </w:pPr>
      <w:r/>
      <w:hyperlink r:id="rId11">
        <w:r>
          <w:rPr>
            <w:color w:val="0000EE"/>
            <w:u w:val="single"/>
          </w:rPr>
          <w:t>[7]</w:t>
        </w:r>
      </w:hyperlink>
      <w:r>
        <w:t xml:space="preserve"> (SpringerLink chapter) - Paragraph 3, Paragraph 8</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https://ceohangout.com/explainable-ai-executive-decisions/</w:t>
        </w:r>
      </w:hyperlink>
      <w:r>
        <w:t xml:space="preserve"> - Please view link - unable to able to access data</w:t>
      </w:r>
      <w:r/>
    </w:p>
    <w:p>
      <w:pPr>
        <w:pStyle w:val="ListNumber"/>
        <w:spacing w:line="240" w:lineRule="auto"/>
        <w:ind w:left="720"/>
      </w:pPr>
      <w:r/>
      <w:hyperlink r:id="rId9">
        <w:r>
          <w:rPr>
            <w:color w:val="0000EE"/>
            <w:u w:val="single"/>
          </w:rPr>
          <w:t>https://ceohangout.com/explainable-ai-executive-decisions/</w:t>
        </w:r>
      </w:hyperlink>
      <w:r>
        <w:t xml:space="preserve"> - This article discusses the significance of Explainable AI (XAI) in business decision-making. It highlights how XAI enhances transparency, builds trust, and ensures compliance with regulations. The piece delves into core XAI techniques like SHAP, LIME, and Counterfactuals, explaining their roles in clarifying AI decision-making processes. It also addresses the business impact of XAI, noting improvements in model accuracy and profit growth. Additionally, the article offers implementation tips, emphasizing the importance of governance committees, monitoring AI performance, and integrating human judgment with AI insights.</w:t>
      </w:r>
      <w:r/>
    </w:p>
    <w:p>
      <w:pPr>
        <w:pStyle w:val="ListNumber"/>
        <w:spacing w:line="240" w:lineRule="auto"/>
        <w:ind w:left="720"/>
      </w:pPr>
      <w:r/>
      <w:hyperlink r:id="rId10">
        <w:r>
          <w:rPr>
            <w:color w:val="0000EE"/>
            <w:u w:val="single"/>
          </w:rPr>
          <w:t>https://oxfordcentre.uk/resources/artificial-intelligence/explainable-ai-xai-why-transparency-matters-in-machine-learning/</w:t>
        </w:r>
      </w:hyperlink>
      <w:r>
        <w:t xml:space="preserve"> - This resource from the Oxford Training Centre explores the importance of Explainable AI (XAI) in machine learning. It outlines practical applications of XAI across various industries, including healthcare, finance, legal systems, business analytics, and autonomous vehicles. The article emphasizes the role of XAI in ensuring transparency, accountability, and compliance with regulations like GDPR. It also discusses how XAI helps in mitigating bias and improving decision-making processes, thereby fostering trust and ethical standards in AI systems.</w:t>
      </w:r>
      <w:r/>
    </w:p>
    <w:p>
      <w:pPr>
        <w:pStyle w:val="ListNumber"/>
        <w:spacing w:line="240" w:lineRule="auto"/>
        <w:ind w:left="720"/>
      </w:pPr>
      <w:r/>
      <w:hyperlink r:id="rId12">
        <w:r>
          <w:rPr>
            <w:color w:val="0000EE"/>
            <w:u w:val="single"/>
          </w:rPr>
          <w:t>https://solveforce.com/explainable-ai-xai-making-ai-decisions-transparent-and-understandable/</w:t>
        </w:r>
      </w:hyperlink>
      <w:r>
        <w:t xml:space="preserve"> - This article from SolveForce Communications discusses the significance of Explainable AI (XAI) in making AI decisions transparent and understandable. It highlights how XAI enhances trust, accountability, and regulatory compliance. The piece explains various XAI techniques, including SHAP and LIME, and their roles in improving decision-making processes. It also addresses the importance of visualization techniques and counterfactual explanations in interpreting AI models. The article underscores the necessity of XAI in mitigating bias and ensuring fairness in AI-driven decisions.</w:t>
      </w:r>
      <w:r/>
    </w:p>
    <w:p>
      <w:pPr>
        <w:pStyle w:val="ListNumber"/>
        <w:spacing w:line="240" w:lineRule="auto"/>
        <w:ind w:left="720"/>
      </w:pPr>
      <w:r/>
      <w:hyperlink r:id="rId14">
        <w:r>
          <w:rPr>
            <w:color w:val="0000EE"/>
            <w:u w:val="single"/>
          </w:rPr>
          <w:t>https://www.informed.com/news/importance-of-implementing-explainable-ai/</w:t>
        </w:r>
      </w:hyperlink>
      <w:r>
        <w:t xml:space="preserve"> - This article from Informed Solutions emphasizes the importance of implementing Explainable AI (XAI) in organizations. It discusses how XAI fosters trust, ensures regulatory compliance, and aids in identifying and mitigating biases in AI systems. The piece also highlights the role of XAI in improving AI performance and decision-making processes. It provides insights into how organizations can leverage XAI to enhance transparency and accountability in their AI-driven solutions, thereby building a culture of trust and ethical responsibility.</w:t>
      </w:r>
      <w:r/>
    </w:p>
    <w:p>
      <w:pPr>
        <w:pStyle w:val="ListNumber"/>
        <w:spacing w:line="240" w:lineRule="auto"/>
        <w:ind w:left="720"/>
      </w:pPr>
      <w:r/>
      <w:hyperlink r:id="rId13">
        <w:r>
          <w:rPr>
            <w:color w:val="0000EE"/>
            <w:u w:val="single"/>
          </w:rPr>
          <w:t>https://di0zxmb8pwajl.cloudfront.net/kics/conference/icaiic2025/presentation/1571106601.pdf</w:t>
        </w:r>
      </w:hyperlink>
      <w:r>
        <w:t xml:space="preserve"> - This presentation discusses the implementation of Explainable AI (XAI) to enhance business decision-making. It highlights the key advantages of adopting XAI, such as improving trust and transparency. The presentation provides examples of how XAI methods like SHAP and LIME have been applied in real business scenarios, demonstrating their effectiveness in providing clear insights into model predictions. It also addresses the balance between model accuracy and transparency, emphasizing that XAI enhances understanding without significantly compromising performance.</w:t>
      </w:r>
      <w:r/>
    </w:p>
    <w:p>
      <w:pPr>
        <w:pStyle w:val="ListNumber"/>
        <w:spacing w:line="240" w:lineRule="auto"/>
        <w:ind w:left="720"/>
      </w:pPr>
      <w:r/>
      <w:hyperlink r:id="rId11">
        <w:r>
          <w:rPr>
            <w:color w:val="0000EE"/>
            <w:u w:val="single"/>
          </w:rPr>
          <w:t>https://link.springer.com/chapter/10.1007/978-981-97-4152-6_32</w:t>
        </w:r>
      </w:hyperlink>
      <w:r>
        <w:t xml:space="preserve"> - This chapter from SpringerLink explores the role of Explainable Artificial Intelligence (XAI) in critical decision-making processes. It discusses how XAI addresses issues related to non-interpretable black-box models through techniques like rule-based methods, LIME, and SHAP. The chapter presents case studies in healthcare, banking, and law enforcement, illustrating how XAI improves decision accuracy, trust, and collaboration. It also emphasizes the ethical requirements of XAI, balancing privacy and transparency, reducing bias, and ensuring responsibility and justice in decision-making.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eohangout.com/explainable-ai-executive-decisions/" TargetMode="External"/><Relationship Id="rId10" Type="http://schemas.openxmlformats.org/officeDocument/2006/relationships/hyperlink" Target="https://oxfordcentre.uk/resources/artificial-intelligence/explainable-ai-xai-why-transparency-matters-in-machine-learning/" TargetMode="External"/><Relationship Id="rId11" Type="http://schemas.openxmlformats.org/officeDocument/2006/relationships/hyperlink" Target="https://link.springer.com/chapter/10.1007/978-981-97-4152-6_32" TargetMode="External"/><Relationship Id="rId12" Type="http://schemas.openxmlformats.org/officeDocument/2006/relationships/hyperlink" Target="https://solveforce.com/explainable-ai-xai-making-ai-decisions-transparent-and-understandable/" TargetMode="External"/><Relationship Id="rId13" Type="http://schemas.openxmlformats.org/officeDocument/2006/relationships/hyperlink" Target="https://di0zxmb8pwajl.cloudfront.net/kics/conference/icaiic2025/presentation/1571106601.pdf" TargetMode="External"/><Relationship Id="rId14" Type="http://schemas.openxmlformats.org/officeDocument/2006/relationships/hyperlink" Target="https://www.informed.com/news/importance-of-implementing-explainable-ai/"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