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Payments evolve into an always‑on operating system, driven by AI and continuous commerce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If there was a single through line in 2025 it was that “payments” ceased to be a discrete back‑office function and instead became an always‑on operating system for commerce, where data, security and user experience are inseparable. That framing, advanced repeatedly in PYMNTS’ conversations with card networks, banks and FinTechs, reframes payments as a continuous orchestration problem that touches marketing, fulfilment, fraud defence and customer analytics long before a transaction posts. </w:t>
      </w:r>
      <w:hyperlink r:id="rId9">
        <w:r>
          <w:rPr>
            <w:color w:val="0000EE"/>
            <w:u w:val="single"/>
          </w:rPr>
          <w:t>[1]</w:t>
        </w:r>
      </w:hyperlink>
      <w:hyperlink r:id="rId9">
        <w:r>
          <w:rPr>
            <w:color w:val="0000EE"/>
            <w:u w:val="single"/>
          </w:rPr>
          <w:t>[2]</w:t>
        </w:r>
      </w:hyperlink>
      <w:r/>
    </w:p>
    <w:p>
      <w:r/>
      <w:r>
        <w:t xml:space="preserve">Visa has most visibly leaned into that operating‑system thesis, describing generative AI not as an add‑on but as an architecture‑level force. Sam Hamilton, Visa’s head of AI and data, told PYMNTS that “I can’t think of one area that GenAI is not going to transform,” while Visa’s public initiatives have moved from words to productisation: the company has launched a $100 million generative AI ventures initiative to back firms building AI for commerce and published research arguing that agentic AI, autonomous shopping agents, will reshape how purchases are discovered and executed. According to Visa’s announcements, those investments and whitepapers sit alongside a developer‑facing programme called Visa Intelligent Commerce that opens network capabilities to the engineers building AI agents that can shop and pay on behalf of consumers. </w:t>
      </w:r>
      <w:hyperlink r:id="rId9">
        <w:r>
          <w:rPr>
            <w:color w:val="0000EE"/>
            <w:u w:val="single"/>
          </w:rPr>
          <w:t>[1]</w:t>
        </w:r>
      </w:hyperlink>
      <w:hyperlink r:id="rId10">
        <w:r>
          <w:rPr>
            <w:color w:val="0000EE"/>
            <w:u w:val="single"/>
          </w:rPr>
          <w:t>[5]</w:t>
        </w:r>
      </w:hyperlink>
      <w:hyperlink r:id="rId11">
        <w:r>
          <w:rPr>
            <w:color w:val="0000EE"/>
            <w:u w:val="single"/>
          </w:rPr>
          <w:t>[6]</w:t>
        </w:r>
      </w:hyperlink>
      <w:hyperlink r:id="rId12">
        <w:r>
          <w:rPr>
            <w:color w:val="0000EE"/>
            <w:u w:val="single"/>
          </w:rPr>
          <w:t>[3]</w:t>
        </w:r>
      </w:hyperlink>
      <w:r/>
    </w:p>
    <w:p>
      <w:r/>
      <w:r>
        <w:t xml:space="preserve">Visa’s commercial case for this shift is operational rather than futuristic. PYMNTS interviews with Visa executives stressed “outside‑in” design and unified commerce: merchants win not by adding features but by collapsing seams, pricing, inventory visibility, fulfilment and payments, so that the same decision made on a phone or in a store resolves consistently across channels. Visa has also begun piloting agentic commerce programmes across markets, and its public statements say those pilots include new security protocols intended to build trust between AI agents, consumers and merchants. </w:t>
      </w:r>
      <w:hyperlink r:id="rId9">
        <w:r>
          <w:rPr>
            <w:color w:val="0000EE"/>
            <w:u w:val="single"/>
          </w:rPr>
          <w:t>[1]</w:t>
        </w:r>
      </w:hyperlink>
      <w:hyperlink r:id="rId9">
        <w:r>
          <w:rPr>
            <w:color w:val="0000EE"/>
            <w:u w:val="single"/>
          </w:rPr>
          <w:t>[2]</w:t>
        </w:r>
      </w:hyperlink>
      <w:hyperlink r:id="rId13">
        <w:r>
          <w:rPr>
            <w:color w:val="0000EE"/>
            <w:u w:val="single"/>
          </w:rPr>
          <w:t>[7]</w:t>
        </w:r>
      </w:hyperlink>
      <w:r/>
    </w:p>
    <w:p>
      <w:r/>
      <w:r>
        <w:t xml:space="preserve">Mastercard has pursued a complementary consumer‑centric tack, emphasising choice, control and simpler credentialing for shoppers. According to a Mastercard announcement, the company has partnered with PayPal to co‑develop Mastercard One Credential, a single‑credential solution designed to let consumers choose debit, credit, instalments or prepaid options at checkout while reducing friction both online and in‑store. Mastercard executives speaking to PYMNTS added that consumers increasingly want tools that help them manage money across accounts and payment types, a demand the One Credential aims to meet for mainstream and middle‑market buyers. </w:t>
      </w:r>
      <w:hyperlink r:id="rId9">
        <w:r>
          <w:rPr>
            <w:color w:val="0000EE"/>
            <w:u w:val="single"/>
          </w:rPr>
          <w:t>[1]</w:t>
        </w:r>
      </w:hyperlink>
      <w:hyperlink r:id="rId14">
        <w:r>
          <w:rPr>
            <w:color w:val="0000EE"/>
            <w:u w:val="single"/>
          </w:rPr>
          <w:t>[4]</w:t>
        </w:r>
      </w:hyperlink>
      <w:r/>
    </w:p>
    <w:p>
      <w:r/>
      <w:r>
        <w:t xml:space="preserve">Networks and issuers are not treating AI as purely efficiency technology; they are building governance and trust rails. Visa’s whitepaper and executives alike stress the need for trusted inputs and strong oversight if agentic AI is to act on consumers’ behalf, while American Express told PYMNTS that automation must “work in service of people, not instead of them,” preserving human judgement where customers need reassurance. Industry messaging therefore pairs product launches with warnings: scale the technology, but couple it with data quality, explainability and consumer consent frameworks. </w:t>
      </w:r>
      <w:hyperlink r:id="rId11">
        <w:r>
          <w:rPr>
            <w:color w:val="0000EE"/>
            <w:u w:val="single"/>
          </w:rPr>
          <w:t>[6]</w:t>
        </w:r>
      </w:hyperlink>
      <w:hyperlink r:id="rId9">
        <w:r>
          <w:rPr>
            <w:color w:val="0000EE"/>
            <w:u w:val="single"/>
          </w:rPr>
          <w:t>[1]</w:t>
        </w:r>
      </w:hyperlink>
      <w:r/>
    </w:p>
    <w:p>
      <w:r/>
      <w:r>
        <w:t xml:space="preserve">Banks described 2025 as a year of operational deadlines rather than abstract transformation. Treasury leaders at Citi told PYMNTS that liquidity management is moving from daily batch windows to continuous, round‑the‑clock processes, forcing a rethink of treasury architecture. Trade and supply‑chain executives emphasised that tariffs, geopolitics and logistics remain the hard constraints for real commerce, while cash managers underlined the ongoing labour and security challenges of physical cash handling, reminding readers that digital rails sit on real operational foundations. </w:t>
      </w:r>
      <w:hyperlink r:id="rId9">
        <w:r>
          <w:rPr>
            <w:color w:val="0000EE"/>
            <w:u w:val="single"/>
          </w:rPr>
          <w:t>[1]</w:t>
        </w:r>
      </w:hyperlink>
      <w:r/>
    </w:p>
    <w:p>
      <w:r/>
      <w:r>
        <w:t xml:space="preserve">Processors and FinTechs framed the shift in economic as well as technical terms. Executives warned that instant payouts and real‑time services risk commoditisation without accompanying value strategies: too many firms treat instant rails as a checkbox, inviting a race to the bottom on fees. Processors described themselves increasingly as extensions of banks’ compliance and risk functions, expected to carry operational responsibility for fraud, regulatory oversight and transaction integrity in real time. </w:t>
      </w:r>
      <w:hyperlink r:id="rId9">
        <w:r>
          <w:rPr>
            <w:color w:val="0000EE"/>
            <w:u w:val="single"/>
          </w:rPr>
          <w:t>[1]</w:t>
        </w:r>
      </w:hyperlink>
      <w:r/>
    </w:p>
    <w:p>
      <w:r/>
      <w:r>
        <w:t xml:space="preserve">For merchants, especially smaller and middle‑market firms, the net effect is paradoxical. They face heightened complexity from AI, credentialing and continuous liquidity demands but also new tools that can collapse operational seams and surface richer analytics. Networks argue those tools level the playing field by enabling faster responses and simpler integration; banks and processors counter that execution risk and governance are now the central commercial battlegrounds. </w:t>
      </w:r>
      <w:hyperlink r:id="rId9">
        <w:r>
          <w:rPr>
            <w:color w:val="0000EE"/>
            <w:u w:val="single"/>
          </w:rPr>
          <w:t>[1]</w:t>
        </w:r>
      </w:hyperlink>
      <w:hyperlink r:id="rId12">
        <w:r>
          <w:rPr>
            <w:color w:val="0000EE"/>
            <w:u w:val="single"/>
          </w:rPr>
          <w:t>[3]</w:t>
        </w:r>
      </w:hyperlink>
      <w:hyperlink r:id="rId14">
        <w:r>
          <w:rPr>
            <w:color w:val="0000EE"/>
            <w:u w:val="single"/>
          </w:rPr>
          <w:t>[4]</w:t>
        </w:r>
      </w:hyperlink>
      <w:hyperlink r:id="rId10">
        <w:r>
          <w:rPr>
            <w:color w:val="0000EE"/>
            <w:u w:val="single"/>
          </w:rPr>
          <w:t>[5]</w:t>
        </w:r>
      </w:hyperlink>
      <w:r/>
    </w:p>
    <w:p>
      <w:r/>
      <w:r>
        <w:t xml:space="preserve">The picture at year‑end 2025 is therefore one of converging forces: networks building agentic, credential and AI programmes; issuers insisting on governance and human oversight; banks rewiring treasury and cash logistics for continuous commerce; and processors pushing the practicalities of compliance and unit economics. All parties agree on the premise, payments as an always‑on operating system, but the debate now centres on who governs that system, how value is allocated across the stack, and how consumer trust is maintained as machine agents begin to act on behalf of people. </w:t>
      </w:r>
      <w:hyperlink r:id="rId9">
        <w:r>
          <w:rPr>
            <w:color w:val="0000EE"/>
            <w:u w:val="single"/>
          </w:rPr>
          <w:t>[1]</w:t>
        </w:r>
      </w:hyperlink>
      <w:hyperlink r:id="rId12">
        <w:r>
          <w:rPr>
            <w:color w:val="0000EE"/>
            <w:u w:val="single"/>
          </w:rPr>
          <w:t>[3]</w:t>
        </w:r>
      </w:hyperlink>
      <w:hyperlink r:id="rId11">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(PYMNTS) - Paragraph 1, Paragraph 2, Paragraph 3, Paragraph 5, Paragraph 6, Paragraph 7, Paragraph 8, Paragraph 9</w:t>
      </w:r>
      <w:r/>
    </w:p>
    <w:p>
      <w:pPr>
        <w:pStyle w:val="ListBullet"/>
        <w:spacing w:line="240" w:lineRule="auto"/>
        <w:ind w:left="720"/>
      </w:pPr>
      <w:r/>
      <w:hyperlink r:id="rId9">
        <w:r>
          <w:rPr>
            <w:color w:val="0000EE"/>
            <w:u w:val="single"/>
          </w:rPr>
          <w:t>[2]</w:t>
        </w:r>
      </w:hyperlink>
      <w:r>
        <w:t xml:space="preserve"> (PYMNTS summary) - Paragraph 1, Paragraph 3</w:t>
      </w:r>
      <w:r/>
    </w:p>
    <w:p>
      <w:pPr>
        <w:pStyle w:val="ListBullet"/>
        <w:spacing w:line="240" w:lineRule="auto"/>
        <w:ind w:left="720"/>
      </w:pPr>
      <w:r/>
      <w:hyperlink r:id="rId12">
        <w:r>
          <w:rPr>
            <w:color w:val="0000EE"/>
            <w:u w:val="single"/>
          </w:rPr>
          <w:t>[3]</w:t>
        </w:r>
      </w:hyperlink>
      <w:r>
        <w:t xml:space="preserve"> (Visa press release: Visa Intelligent Commerce) - Paragraph 2, Paragraph 9</w:t>
      </w:r>
      <w:r/>
    </w:p>
    <w:p>
      <w:pPr>
        <w:pStyle w:val="ListBullet"/>
        <w:spacing w:line="240" w:lineRule="auto"/>
        <w:ind w:left="720"/>
      </w:pPr>
      <w:r/>
      <w:hyperlink r:id="rId14">
        <w:r>
          <w:rPr>
            <w:color w:val="0000EE"/>
            <w:u w:val="single"/>
          </w:rPr>
          <w:t>[4]</w:t>
        </w:r>
      </w:hyperlink>
      <w:r>
        <w:t xml:space="preserve"> (Mastercard press release: Mastercard One Credential with PayPal) - Paragraph 4, Paragraph 8</w:t>
      </w:r>
      <w:r/>
    </w:p>
    <w:p>
      <w:pPr>
        <w:pStyle w:val="ListBullet"/>
        <w:spacing w:line="240" w:lineRule="auto"/>
        <w:ind w:left="720"/>
      </w:pPr>
      <w:r/>
      <w:hyperlink r:id="rId10">
        <w:r>
          <w:rPr>
            <w:color w:val="0000EE"/>
            <w:u w:val="single"/>
          </w:rPr>
          <w:t>[5]</w:t>
        </w:r>
      </w:hyperlink>
      <w:r>
        <w:t xml:space="preserve"> (Visa press release: $100M generative AI ventures) - Paragraph 2, Paragraph 9</w:t>
      </w:r>
      <w:r/>
    </w:p>
    <w:p>
      <w:pPr>
        <w:pStyle w:val="ListBullet"/>
        <w:spacing w:line="240" w:lineRule="auto"/>
        <w:ind w:left="720"/>
      </w:pPr>
      <w:r/>
      <w:hyperlink r:id="rId11">
        <w:r>
          <w:rPr>
            <w:color w:val="0000EE"/>
            <w:u w:val="single"/>
          </w:rPr>
          <w:t>[6]</w:t>
        </w:r>
      </w:hyperlink>
      <w:r>
        <w:t xml:space="preserve"> (Visa whitepaper / Global Fintech Fest 2025) - Paragraph 2, Paragraph 5, Paragraph 9</w:t>
      </w:r>
      <w:r/>
    </w:p>
    <w:p>
      <w:pPr>
        <w:pStyle w:val="ListBullet"/>
        <w:spacing w:line="240" w:lineRule="auto"/>
        <w:ind w:left="720"/>
      </w:pPr>
      <w:r/>
      <w:hyperlink r:id="rId13">
        <w:r>
          <w:rPr>
            <w:color w:val="0000EE"/>
            <w:u w:val="single"/>
          </w:rPr>
          <w:t>[7]</w:t>
        </w:r>
      </w:hyperlink>
      <w:r>
        <w:t xml:space="preserve"> (Visa APAC press release)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https://www.pymnts.com/connectedeconomy/2025/in-2025-card-networks-reshaped-commerce-while-banks-rewired-payments/</w:t>
        </w:r>
      </w:hyperlink>
      <w:r>
        <w:t xml:space="preserve"> - Please view link - unable to able to access data</w:t>
      </w:r>
      <w:r/>
    </w:p>
    <w:p>
      <w:pPr>
        <w:pStyle w:val="ListNumber"/>
        <w:spacing w:line="240" w:lineRule="auto"/>
        <w:ind w:left="720"/>
      </w:pPr>
      <w:r/>
      <w:hyperlink r:id="rId9">
        <w:r>
          <w:rPr>
            <w:color w:val="0000EE"/>
            <w:u w:val="single"/>
          </w:rPr>
          <w:t>https://www.pymnts.com/connectedeconomy/2025/in-2025-card-networks-reshaped-commerce-while-banks-rewired-payments/</w:t>
        </w:r>
      </w:hyperlink>
      <w:r>
        <w:t xml:space="preserve"> - In 2025, major card networks, banks, and FinTechs have transformed payments into an always-on operating system for commerce, integrating data, security, and user experience. Visa's head of AI and data, Sam Hamilton, highlighted generative AI's pervasive impact across the network's value proposition, emphasizing the need for trusted inputs and governance. Visa's unified commerce approach focuses on removing operational seams between in-store and online experiences, checkout and post-purchase services, and payment acceptance and fraud defense, enabling smaller merchants to compete by collapsing complexity and responding faster.</w:t>
      </w:r>
      <w:r/>
    </w:p>
    <w:p>
      <w:pPr>
        <w:pStyle w:val="ListNumber"/>
        <w:spacing w:line="240" w:lineRule="auto"/>
        <w:ind w:left="720"/>
      </w:pPr>
      <w:r/>
      <w:hyperlink r:id="rId12">
        <w:r>
          <w:rPr>
            <w:color w:val="0000EE"/>
            <w:u w:val="single"/>
          </w:rPr>
          <w:t>https://www.visa.com/about-visa/newsroom/press-releases.release.21361.html</w:t>
        </w:r>
      </w:hyperlink>
      <w:r>
        <w:t xml:space="preserve"> - Visa has introduced Visa Intelligent Commerce, a groundbreaking initiative that opens its payment network to developers and engineers building AI agents capable of autonomously shopping and paying on behalf of consumers. Collaborating with partners like Anthropic, IBM, Microsoft, Mistral AI, OpenAI, Perplexity, Samsung, and Stripe, Visa aims to make shopping experiences more personal, secure, and convenient by integrating AI into commerce, allowing AI agents to browse, select, purchase, and manage on behalf of users.</w:t>
      </w:r>
      <w:r/>
    </w:p>
    <w:p>
      <w:pPr>
        <w:pStyle w:val="ListNumber"/>
        <w:spacing w:line="240" w:lineRule="auto"/>
        <w:ind w:left="720"/>
      </w:pPr>
      <w:r/>
      <w:hyperlink r:id="rId14">
        <w:r>
          <w:rPr>
            <w:color w:val="0000EE"/>
            <w:u w:val="single"/>
          </w:rPr>
          <w:t>https://www.mastercard.com/us/en/news-and-trends/press/2025/june/mastercard-paypal-one-credential.html</w:t>
        </w:r>
      </w:hyperlink>
      <w:r>
        <w:t xml:space="preserve"> - Mastercard and PayPal have partnered to co-develop Mastercard One Credential, a solution that empowers consumers with a single credential offering multiple ways to pay. This collaboration aims to provide shoppers with more choice and control over their checkout process, enabling them to use a single credential for various payment options, including debit, installments, prepaid, or credit, both online and in-store, simplifying the payment experience and enhancing consumer confidence.</w:t>
      </w:r>
      <w:r/>
    </w:p>
    <w:p>
      <w:pPr>
        <w:pStyle w:val="ListNumber"/>
        <w:spacing w:line="240" w:lineRule="auto"/>
        <w:ind w:left="720"/>
      </w:pPr>
      <w:r/>
      <w:hyperlink r:id="rId10">
        <w:r>
          <w:rPr>
            <w:color w:val="0000EE"/>
            <w:u w:val="single"/>
          </w:rPr>
          <w:t>https://www.visa.com/about-visa/newsroom/press-releases.releaseId.19986.html</w:t>
        </w:r>
      </w:hyperlink>
      <w:r>
        <w:t xml:space="preserve"> - Visa has launched a $100 million generative AI ventures initiative to invest in companies developing generative AI technologies and applications impacting the future of commerce and payments. As a pioneer in AI use in payments since 1993, Visa aims to drive innovation, create value for partners and clients, and enable global commerce by supporting the next generation of AI-driven solutions in the payments industry.</w:t>
      </w:r>
      <w:r/>
    </w:p>
    <w:p>
      <w:pPr>
        <w:pStyle w:val="ListNumber"/>
        <w:spacing w:line="240" w:lineRule="auto"/>
        <w:ind w:left="720"/>
      </w:pPr>
      <w:r/>
      <w:hyperlink r:id="rId11">
        <w:r>
          <w:rPr>
            <w:color w:val="0000EE"/>
            <w:u w:val="single"/>
          </w:rPr>
          <w:t>https://www.visa.co.in/about-visa/newsroom/press-releases/visa-launches-whitepaper-on-agentic-ai-and-the-next-era-of-autonomous-commerce-at-global-fintech-fest-2025.html</w:t>
        </w:r>
      </w:hyperlink>
      <w:r>
        <w:t xml:space="preserve"> - At the Global Fintech Fest 2025, Visa launched a whitepaper titled 'Automation to Autonomy: How Agentic AI is Revolutionizing Payments,' exploring how AI agents anticipate needs, make decisions, and execute transactions within consent, security, and spending limits. The whitepaper highlights the projected $175 billion market for Agentic AI in commerce by 2030 and emphasizes the importance of collaboration among issuers, acquirers, merchants, and consumers to drive value through frictionless AI-powered transactions.</w:t>
      </w:r>
      <w:r/>
    </w:p>
    <w:p>
      <w:pPr>
        <w:pStyle w:val="ListNumber"/>
        <w:spacing w:line="240" w:lineRule="auto"/>
        <w:ind w:left="720"/>
      </w:pPr>
      <w:r/>
      <w:hyperlink r:id="rId13">
        <w:r>
          <w:rPr>
            <w:color w:val="0000EE"/>
            <w:u w:val="single"/>
          </w:rPr>
          <w:t>https://www.visa.com.sg/about-visa/newsroom/press-releases/visa-expands-visa-intelligent-commerce-across-asia-pacific-prepares-for-ai-commerce-pilot-by-early-2026.html</w:t>
        </w:r>
      </w:hyperlink>
      <w:r>
        <w:t xml:space="preserve"> - Visa has expanded Visa Intelligent Commerce across the Asia Pacific region, accelerating the adoption of agentic commerce—a new era where AI-powered agents shop and pay on behalf of consumers. This expansion introduces new security protocols and pilot programs, building upon earlier partnerships and initiatives, and aims to foster trust between AI agents and merchants through secure, seamless transactions that redefine digital commerce.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connectedeconomy/2025/in-2025-card-networks-reshaped-commerce-while-banks-rewired-payments/" TargetMode="External"/><Relationship Id="rId10" Type="http://schemas.openxmlformats.org/officeDocument/2006/relationships/hyperlink" Target="https://www.visa.com/about-visa/newsroom/press-releases.releaseId.19986.html" TargetMode="External"/><Relationship Id="rId11" Type="http://schemas.openxmlformats.org/officeDocument/2006/relationships/hyperlink" Target="https://www.visa.co.in/about-visa/newsroom/press-releases/visa-launches-whitepaper-on-agentic-ai-and-the-next-era-of-autonomous-commerce-at-global-fintech-fest-2025.html" TargetMode="External"/><Relationship Id="rId12" Type="http://schemas.openxmlformats.org/officeDocument/2006/relationships/hyperlink" Target="https://www.visa.com/about-visa/newsroom/press-releases.release.21361.html" TargetMode="External"/><Relationship Id="rId13" Type="http://schemas.openxmlformats.org/officeDocument/2006/relationships/hyperlink" Target="https://www.visa.com.sg/about-visa/newsroom/press-releases/visa-expands-visa-intelligent-commerce-across-asia-pacific-prepares-for-ai-commerce-pilot-by-early-2026.html" TargetMode="External"/><Relationship Id="rId14" Type="http://schemas.openxmlformats.org/officeDocument/2006/relationships/hyperlink" Target="https://www.mastercard.com/us/en/news-and-trends/press/2025/june/mastercard-paypal-one-credential.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