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 towards sustainability and inclusion reshapes research on diversity in Islamic banking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recent bibliometric study published via Wiley Online Library maps a maturing but still-evolving field that interrogates diversity management within Islamic banking, tracing 98 peer‑reviewed articles across 73 journals from 1990 to 2025 and highlighting accelerating scholarly interest since 2016 and a sharp surge after 2020. According to the paper, an annual growth rate of 8.24% and an average citation rate of 15.09 per document point to growing academic engagement, while an average document age of 5.28 years underscores the recency of most contributions. </w:t>
      </w:r>
      <w:hyperlink r:id="rId9">
        <w:r>
          <w:rPr>
            <w:color w:val="0000EE"/>
            <w:u w:val="single"/>
          </w:rPr>
          <w:t>[1]</w:t>
        </w:r>
      </w:hyperlink>
      <w:r/>
    </w:p>
    <w:p>
      <w:r/>
      <w:r>
        <w:t xml:space="preserve">The dataset’s composition confirms a field rooted in specialised outlets: the International Journal of Islamic and Middle Eastern Finance and Management, Journal of Islamic Accounting and Business Research and ISRA International Journal of Islamic Finance lead publication counts, signalling that debates on board diversity, Shariah governance and CSR are being developed primarily within Islamic‑finance and ethics journals rather than general management titles. The study notes, however, that interdisciplinary interest is emerging via outlets such as Journal of Financial Reporting and Accounting and Global Finance Journal, suggesting diffusion beyond strictly religious or regional journals. </w:t>
      </w:r>
      <w:hyperlink r:id="rId9">
        <w:r>
          <w:rPr>
            <w:color w:val="0000EE"/>
            <w:u w:val="single"/>
          </w:rPr>
          <w:t>[1]</w:t>
        </w:r>
      </w:hyperlink>
      <w:r/>
    </w:p>
    <w:p>
      <w:r/>
      <w:r>
        <w:t xml:space="preserve">Network and cluster analyses produced with VOSviewer reveal four thematic groupings. A governance cluster stresses structural differences between Islamic and conventional banks , notably the role of Shariah supervisory boards, interest‑free financing principles and differing disclosure practices , which shape performance, risk and ethical oversight. A gender‑diversity cluster foregrounds female representation, board heterogeneity and the educational profiles of both executive and Shariah scholars as determinants of transparency and legitimacy. A risk‑and‑reporting cluster links Shariah board expertise and disclosure quality to operational and reputational risk mitigation. A geographically inflected cluster highlights Malaysia as a distinctive institutional model where centralised Shariah governance, mandatory reporting (including zakat and CSR), and alignment with sustainability objectives have been comparatively well institutionalised. </w:t>
      </w:r>
      <w:hyperlink r:id="rId9">
        <w:r>
          <w:rPr>
            <w:color w:val="0000EE"/>
            <w:u w:val="single"/>
          </w:rPr>
          <w:t>[1]</w:t>
        </w:r>
      </w:hyperlink>
      <w:r/>
    </w:p>
    <w:p>
      <w:r/>
      <w:r>
        <w:t xml:space="preserve">Country‑level production corroborates these thematic emphases: Indonesia and Malaysia lead output (each with 42 publications), followed by Pakistan, Saudi Arabia and the UK, with meaningful contributions also coming from the United States and Tunisia. The concentration in Southeast Asia reflects both regulatory sophistication and active research communities, while contributions from non‑Muslim‑majority countries underline Islamic finance’s globalised research pull. The authors interpret this distribution as evidence that diversity and inclusiveness in Islamic banking are increasingly framed as policy‑relevant, cross‑jurisdictional concerns. </w:t>
      </w:r>
      <w:hyperlink r:id="rId9">
        <w:r>
          <w:rPr>
            <w:color w:val="0000EE"/>
            <w:u w:val="single"/>
          </w:rPr>
          <w:t>[1]</w:t>
        </w:r>
      </w:hyperlink>
      <w:r/>
    </w:p>
    <w:p>
      <w:r/>
      <w:r>
        <w:t xml:space="preserve">The Wiley paper’s findings align with other bibliometric reviews in related subfields. A Scopus‑based review of Islamic microfinance underscores poverty alleviation, financial inclusion and an emergent focus on Islamic social finance instruments such as waqf and zakat, together with fintech integration, signalling a broader trend toward ethical innovation and digitalisation across Islamic finance scholarship. According to that study, keyword and co‑authorship mapping similarly show shifting thematic priorities and expanding international collaboration. </w:t>
      </w:r>
      <w:hyperlink r:id="rId10">
        <w:r>
          <w:rPr>
            <w:color w:val="0000EE"/>
            <w:u w:val="single"/>
          </w:rPr>
          <w:t>[2]</w:t>
        </w:r>
      </w:hyperlink>
      <w:r/>
    </w:p>
    <w:p>
      <w:r/>
      <w:r>
        <w:t xml:space="preserve">Separate bibliometric work covering a decade of Islamic finance research likewise observes rising volumes and increasing interdisciplinarity, noting Malaysia, the USA and the UK as prominent contributors and charting a peak in publication activity in 2021. That review emphasises the field’s cross‑disciplinary nature and its potential to address socio‑economic challenges, reinforcing the Wiley study’s interpretation that diversity and governance debates are part of a larger maturation process within Islamic finance research. </w:t>
      </w:r>
      <w:hyperlink r:id="rId11">
        <w:r>
          <w:rPr>
            <w:color w:val="0000EE"/>
            <w:u w:val="single"/>
          </w:rPr>
          <w:t>[3]</w:t>
        </w:r>
      </w:hyperlink>
      <w:r/>
    </w:p>
    <w:p>
      <w:r/>
      <w:r>
        <w:t xml:space="preserve">More specialised bibliometric analyses of ESG and inclusive finance within Islamic banking confirm complementary trends: the literature on ESG practices in Islamic banks has grown steadily, with Muslim‑majority jurisdictions with robust regulatory frameworks leading the discourse and novel attention emerging from minority‑Muslim countries; and studies of financial inclusion highlight Islamic banking’s potential contribution to national inclusiveness through accessibility, availability and usage indicators. These reviews collectively suggest that diversity management in Islamic banks is being reframed within sustainability, inclusion and ESG agendas, expanding the policy stakes of governance research. </w:t>
      </w:r>
      <w:hyperlink r:id="rId12">
        <w:r>
          <w:rPr>
            <w:color w:val="0000EE"/>
            <w:u w:val="single"/>
          </w:rPr>
          <w:t>[5]</w:t>
        </w:r>
      </w:hyperlink>
      <w:hyperlink r:id="rId13">
        <w:r>
          <w:rPr>
            <w:color w:val="0000EE"/>
            <w:u w:val="single"/>
          </w:rPr>
          <w:t>[4]</w:t>
        </w:r>
      </w:hyperlink>
      <w:r/>
    </w:p>
    <w:p>
      <w:r/>
      <w:r>
        <w:t xml:space="preserve">Authorship and thematic mapping in the Wiley study identify a core group of prolific researchers , including Rusnah Binti Muhamad, Muhamad Abduh, Doddy Setiawan, Mustafa Raza Rabbani, Volker Nienhaus and Mushtaq Hussain Khan , whose work anchors the field’s intellectual structure across governance, gender inclusiveness and risk reporting. Industry and policy implications drawn from these authors’ contributions point to several convergent recommendations: strengthen Shariah board diversity (including professional and gender heterogeneity), improve disclosure of non‑Shariah income and zakat/CSR practices, and harmonise regulatory expectations to reduce jurisdictional disparities in governance quality. </w:t>
      </w:r>
      <w:hyperlink r:id="rId9">
        <w:r>
          <w:rPr>
            <w:color w:val="0000EE"/>
            <w:u w:val="single"/>
          </w:rPr>
          <w:t>[1]</w:t>
        </w:r>
      </w:hyperlink>
      <w:r/>
    </w:p>
    <w:p>
      <w:r/>
      <w:r>
        <w:t xml:space="preserve">While the aggregate picture is one of consolidation and expansion, gaps remain. The Wiley study situates topics such as zakat, income diversification and some country‑specific debates (notably Pakistan) in an emerging/declining quadrant, signalling areas that require renewed empirical attention or conceptual recontextualisation. Other bibliometric reviews echo this call, identifying underexplored intersections, for example, how fintech and digital finance reshape inclusive Islamic microfinance, and how institutional factors shape ESG practice uptake, pointing researchers toward comparative, interdisciplinary and policy‑oriented work that connects governance diversity to measurable social and financial outcomes. </w:t>
      </w:r>
      <w:hyperlink r:id="rId9">
        <w:r>
          <w:rPr>
            <w:color w:val="0000EE"/>
            <w:u w:val="single"/>
          </w:rPr>
          <w:t>[1]</w:t>
        </w:r>
      </w:hyperlink>
      <w:hyperlink r:id="rId10">
        <w:r>
          <w:rPr>
            <w:color w:val="0000EE"/>
            <w:u w:val="single"/>
          </w:rPr>
          <w:t>[2]</w:t>
        </w:r>
      </w:hyperlink>
      <w:hyperlink r:id="rId12">
        <w:r>
          <w:rPr>
            <w:color w:val="0000EE"/>
            <w:u w:val="single"/>
          </w:rPr>
          <w:t>[5]</w:t>
        </w:r>
      </w:hyperlink>
      <w:hyperlink r:id="rId14">
        <w:r>
          <w:rPr>
            <w:color w:val="0000EE"/>
            <w:u w:val="single"/>
          </w:rPr>
          <w:t>[6]</w:t>
        </w:r>
      </w:hyperlink>
      <w:hyperlink r:id="rId15">
        <w:r>
          <w:rPr>
            <w:color w:val="0000EE"/>
            <w:u w:val="single"/>
          </w:rPr>
          <w:t>[7]</w:t>
        </w:r>
      </w:hyperlink>
      <w:r/>
    </w:p>
    <w:p>
      <w:r/>
      <w:r>
        <w:t xml:space="preserve">In sum, the bibliometric evidence portrays diversity management in Islamic banking as a field that has moved from foundational doctrinal debates to applied governance, gender and ESG concerns, pursued largely within specialised journals but increasingly drawing interdisciplinary, cross‑country engagement. The emerging research agenda is pragmatic: testing whether board and Shariah governance diversity tangibly improve transparency, risk control and inclusive outcomes, and identifying regulatory arrangements that align Shariah compliance with broader sustainability and financial‑inclusion goals. </w:t>
      </w:r>
      <w:hyperlink r:id="rId9">
        <w:r>
          <w:rPr>
            <w:color w:val="0000EE"/>
            <w:u w:val="single"/>
          </w:rPr>
          <w:t>[1]</w:t>
        </w:r>
      </w:hyperlink>
      <w:hyperlink r:id="rId11">
        <w:r>
          <w:rPr>
            <w:color w:val="0000EE"/>
            <w:u w:val="single"/>
          </w:rPr>
          <w:t>[3]</w:t>
        </w:r>
      </w:hyperlink>
      <w:hyperlink r:id="rId12">
        <w:r>
          <w:rPr>
            <w:color w:val="0000EE"/>
            <w:u w:val="single"/>
          </w:rPr>
          <w:t>[5]</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(Wiley Online Library) - Paragraph 1, Paragraph 2, Paragraph 3, Paragraph 4, Paragraph 8, Paragraph 9 </w:t>
      </w:r>
      <w:r/>
    </w:p>
    <w:p>
      <w:pPr>
        <w:pStyle w:val="ListBullet"/>
        <w:spacing w:line="240" w:lineRule="auto"/>
        <w:ind w:left="720"/>
      </w:pPr>
      <w:r/>
      <w:hyperlink r:id="rId10">
        <w:r>
          <w:rPr>
            <w:color w:val="0000EE"/>
            <w:u w:val="single"/>
          </w:rPr>
          <w:t>[2]</w:t>
        </w:r>
      </w:hyperlink>
      <w:r>
        <w:t xml:space="preserve"> (WSISS/Westsciences) - Paragraph 5, Paragraph 8 </w:t>
      </w:r>
      <w:r/>
    </w:p>
    <w:p>
      <w:pPr>
        <w:pStyle w:val="ListBullet"/>
        <w:spacing w:line="240" w:lineRule="auto"/>
        <w:ind w:left="720"/>
      </w:pPr>
      <w:r/>
      <w:hyperlink r:id="rId11">
        <w:r>
          <w:rPr>
            <w:color w:val="0000EE"/>
            <w:u w:val="single"/>
          </w:rPr>
          <w:t>[3]</w:t>
        </w:r>
      </w:hyperlink>
      <w:r>
        <w:t xml:space="preserve"> (Journal UiTM JEEIR) - Paragraph 6, Paragraph 8 </w:t>
      </w:r>
      <w:r/>
    </w:p>
    <w:p>
      <w:pPr>
        <w:pStyle w:val="ListBullet"/>
        <w:spacing w:line="240" w:lineRule="auto"/>
        <w:ind w:left="720"/>
      </w:pPr>
      <w:r/>
      <w:hyperlink r:id="rId13">
        <w:r>
          <w:rPr>
            <w:color w:val="0000EE"/>
            <w:u w:val="single"/>
          </w:rPr>
          <w:t>[4]</w:t>
        </w:r>
      </w:hyperlink>
      <w:r>
        <w:t xml:space="preserve"> (JIEL/Smartinsight) - Paragraph 7, Paragraph 8 </w:t>
      </w:r>
      <w:r/>
    </w:p>
    <w:p>
      <w:pPr>
        <w:pStyle w:val="ListBullet"/>
        <w:spacing w:line="240" w:lineRule="auto"/>
        <w:ind w:left="720"/>
      </w:pPr>
      <w:r/>
      <w:hyperlink r:id="rId12">
        <w:r>
          <w:rPr>
            <w:color w:val="0000EE"/>
            <w:u w:val="single"/>
          </w:rPr>
          <w:t>[5]</w:t>
        </w:r>
      </w:hyperlink>
      <w:r>
        <w:t xml:space="preserve"> (OUCI bibliometric study) - Paragraph 7, Paragraph 8, Paragraph 9 </w:t>
      </w:r>
      <w:r/>
    </w:p>
    <w:p>
      <w:pPr>
        <w:pStyle w:val="ListBullet"/>
        <w:spacing w:line="240" w:lineRule="auto"/>
        <w:ind w:left="720"/>
      </w:pPr>
      <w:r/>
      <w:hyperlink r:id="rId14">
        <w:r>
          <w:rPr>
            <w:color w:val="0000EE"/>
            <w:u w:val="single"/>
          </w:rPr>
          <w:t>[6]</w:t>
        </w:r>
      </w:hyperlink>
      <w:r>
        <w:t xml:space="preserve"> (WSIS/Westsciences) - Paragraph 8 </w:t>
      </w:r>
      <w:r/>
    </w:p>
    <w:p>
      <w:pPr>
        <w:pStyle w:val="ListBullet"/>
        <w:spacing w:line="240" w:lineRule="auto"/>
        <w:ind w:left="720"/>
      </w:pPr>
      <w:r/>
      <w:hyperlink r:id="rId15">
        <w:r>
          <w:rPr>
            <w:color w:val="0000EE"/>
            <w:u w:val="single"/>
          </w:rPr>
          <w:t>[7]</w:t>
        </w:r>
      </w:hyperlink>
      <w:r>
        <w:t xml:space="preserve"> (International Journal of Economics and Financial Issues / Econjournals)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https://onlinelibrary.wiley.com/doi/10.1002/bsd2.70261?af=R</w:t>
        </w:r>
      </w:hyperlink>
      <w:r>
        <w:t xml:space="preserve"> - Please view link - unable to able to access data</w:t>
      </w:r>
      <w:r/>
    </w:p>
    <w:p>
      <w:pPr>
        <w:pStyle w:val="ListNumber"/>
        <w:spacing w:line="240" w:lineRule="auto"/>
        <w:ind w:left="720"/>
      </w:pPr>
      <w:r/>
      <w:hyperlink r:id="rId10">
        <w:r>
          <w:rPr>
            <w:color w:val="0000EE"/>
            <w:u w:val="single"/>
          </w:rPr>
          <w:t>https://wsj.westsciences.com/index.php/wsiss/article/view/1832</w:t>
        </w:r>
      </w:hyperlink>
      <w:r>
        <w:t xml:space="preserve"> - This study presents a comprehensive bibliometric analysis of Islamic microfinance literature, aiming to map its intellectual structure, thematic evolution, and global collaboration patterns. Using data extracted from the Scopus database and analysed with VOSviewer, a total of relevant publications from 2000 to 2024 were examined through keyword co-occurrence, temporal overlay, density visualisation, co-authorship networks, and country collaborations. The results reveal that Islamic microfinance, poverty alleviation, and financial inclusion are the central themes, while emerging topics such as Islamic social finance, waqf, zakat, and fintech reflect a shifting research focus toward ethical innovation and digital integration.</w:t>
      </w:r>
      <w:r/>
    </w:p>
    <w:p>
      <w:pPr>
        <w:pStyle w:val="ListNumber"/>
        <w:spacing w:line="240" w:lineRule="auto"/>
        <w:ind w:left="720"/>
      </w:pPr>
      <w:r/>
      <w:hyperlink r:id="rId11">
        <w:r>
          <w:rPr>
            <w:color w:val="0000EE"/>
            <w:u w:val="single"/>
          </w:rPr>
          <w:t>https://journal.uitm.edu.my/ojs/index.php/JEEIR/article/view/1386</w:t>
        </w:r>
      </w:hyperlink>
      <w:r>
        <w:t xml:space="preserve"> - Islamic finance, guided by Islamic principles, has become a prominent and unique player in the global financial landscape. This study analyses a decade of research (2012-2022) through a comprehensive bibliometric analysis using Scopus data. We explore the historical foundations, core principles, legal frameworks, and governance structures of Islamic finance. We also delve into the diverse financial instruments used to promote financial inclusion. Employing statistical methods and network analysis with VOSviewer software, this research provides a holistic view of trends in Islamic finance research. Our analysis examines document sources, publication years, subject areas, document types, author and affiliation countries, and funding sponsors. We further explore co-authorship and co-occurrence networks to understand research collaborations, emerging themes, and key contributors. English stands as the primary language of research publications. Notably, Malaysia, the USA, and the UK lead in research output. The results highlight the growing international significance of Islamic finance research within academia. They also reveal its inherent cross-disciplinary nature and potential to address socio-economic challenges. The research volume demonstrates a rising trend, peaking in 2021 with 350 publications. While 2022 saw a slight decrease with 315 publications, the overall volume remains significantly higher compared to earlier years. This study offers a comprehensive overview for both practitioners and scholars. By identifying research themes, geographic patterns, and collaborative networks, it lays the groundwork for future studies on the evolving trends and global impact of Islamic finance.</w:t>
      </w:r>
      <w:r/>
    </w:p>
    <w:p>
      <w:pPr>
        <w:pStyle w:val="ListNumber"/>
        <w:spacing w:line="240" w:lineRule="auto"/>
        <w:ind w:left="720"/>
      </w:pPr>
      <w:r/>
      <w:hyperlink r:id="rId13">
        <w:r>
          <w:rPr>
            <w:color w:val="0000EE"/>
            <w:u w:val="single"/>
          </w:rPr>
          <w:t>https://journals.smartinsight.id/index.php/JIEL/article/view/575</w:t>
        </w:r>
      </w:hyperlink>
      <w:r>
        <w:t xml:space="preserve"> - Inclusive finance is very relevant to support the effectiveness of the functions and duties of the central bank and national banking both in terms of monetary, payment system and macroprudential. Inclusive finance has multidimensional indicators, namely indicators of accessibility, availability and usage of banking services. Islamic banking as part of the national banking industry, with its special characteristics also has great potential to contribute to realizing national financial inclusiveness. This study aims to determine the development of Islamic financial inclusion research trends published by leading journals on Islamic financial economics. The data analysed consisted of 130 indexed research publications.</w:t>
      </w:r>
      <w:r/>
    </w:p>
    <w:p>
      <w:pPr>
        <w:pStyle w:val="ListNumber"/>
        <w:spacing w:line="240" w:lineRule="auto"/>
        <w:ind w:left="720"/>
      </w:pPr>
      <w:r/>
      <w:hyperlink r:id="rId12">
        <w:r>
          <w:rPr>
            <w:color w:val="0000EE"/>
            <w:u w:val="single"/>
          </w:rPr>
          <w:t>https://ouci.dntb.gov.ua/en/works/4YE1kVV4/</w:t>
        </w:r>
      </w:hyperlink>
      <w:r>
        <w:t xml:space="preserve"> - This study aims to explore the current trends in the literature about environmental, social and governance (ESG) practices within Islamic banking. It also seeks to identify research gaps and propose directions for future inquiry. Using a bibliometric analysis, this study synthesises 753 articles from the Scopus database from 1988 to 2023. The analysis was conducted using the biblioshiny package in RStudio and VOSviewer. It reveals an increasing trajectory in the volume of literature on ESG within Islamic banking, with Muslim-majority countries supported by robust regulatory frameworks leading the discourse. Emerging interest from Muslim-minority countries is also noted. This research delineates five principal research streams and proposes future investigative pathways, including the influence of institutional factors on Islamic banks’ ESG practices. This study offers valuable insights for Islamic bank management and stakeholders, enhancing their comprehension of ESG practices’ current landscape. Additionally, it directs emerging scholars towards novel and pertinent research opportunities within this domain. Amidst a growing body of work on ESG and Islamic banking, this study is, to the best of the authors’ knowledge, the first bibliometric review dedicated solely to ESG considerations in Islamic banks. It augments the extant literature by adopting a more stringent methodological approach and a rigid quality assessment.</w:t>
      </w:r>
      <w:r/>
    </w:p>
    <w:p>
      <w:pPr>
        <w:pStyle w:val="ListNumber"/>
        <w:spacing w:line="240" w:lineRule="auto"/>
        <w:ind w:left="720"/>
      </w:pPr>
      <w:r/>
      <w:hyperlink r:id="rId14">
        <w:r>
          <w:rPr>
            <w:color w:val="0000EE"/>
            <w:u w:val="single"/>
          </w:rPr>
          <w:t>https://wsj.westsciences.com/index.php/wsis/article/view/883</w:t>
        </w:r>
      </w:hyperlink>
      <w:r>
        <w:t xml:space="preserve"> - This study employs bibliometric analysis to explore the scholarly landscape of Islamic business ethics within the context of the global economy. Through systematic data collection from major academic databases and the use of VOSviewer for network visualisation, this research identifies key thematic clusters, author collaboration patterns, evolving research trends over time, and highlights underexplored areas with potential for future investigation. The findings reveal a robust focus on Islamic business ethics' application in banking and economic growth, the integration of technology in finance, and the sector's response to global crises such as the COVID-19 pandemic.</w:t>
      </w:r>
      <w:r/>
    </w:p>
    <w:p>
      <w:pPr>
        <w:pStyle w:val="ListNumber"/>
        <w:spacing w:line="240" w:lineRule="auto"/>
        <w:ind w:left="720"/>
      </w:pPr>
      <w:r/>
      <w:hyperlink r:id="rId15">
        <w:r>
          <w:rPr>
            <w:color w:val="0000EE"/>
            <w:u w:val="single"/>
          </w:rPr>
          <w:t>https://econjournals.com/index.php/ijefi/article/view/18280</w:t>
        </w:r>
      </w:hyperlink>
      <w:r>
        <w:t xml:space="preserve"> - This paper explores the analysis of trends related to the research on corporate governance of Islamic banks from 1994 to January 2024. This study aims to find out (1) the growth and publication trends in the field of corporate governance of Islamic banks today; (2) the most productive contributor to the corporate governance of Islamic banks; (3) documents that are widely cited in the research on corporate governance of Islamic banks; and (4) important keywords and themes involved in the study of corporate governance of Islamic banks. The data was obtained through the Scopus database with the keywords (islamic OR sharia</w:t>
      </w:r>
      <w:r>
        <w:rPr>
          <w:i/>
        </w:rPr>
        <w:t>) AND (bank</w:t>
      </w:r>
      <w:r>
        <w:t xml:space="preserve"> OR finance) AND “corporate governance.” The search resulted in 346 documents, which became 261 documents after screening. The data was exported and analysed using VOSviewer, Publish or Perish (PoP), and Microsoft Excel. The results of the study show that the most publications occurred in 2020. The largest contributors to publishing the most research papers were Rihab Grassa from authors (12 publications), International Islamic University Malaysia from institutions (15 publications), English from languages (259 publications), Malaysia from countries (62 publications), and Journal of Islamic Accounting and Business Research from the title of the most prolific contributor (23 publications). The article “Shari’ah Supervision, Corporate Governance, and Performance: Conventional versus Islamic Banks” was written by Sabur Mollah and Mahbub Zaman as the most cited publication. Based on the results of the network visualisation mapping, the research on corporate governance of Islamic banks is divided into five main themes: profit management and ownership structure in Islamic banks, financial performance of Islamic banks, sharia governance in Islamic banks, operational risk management of Islamic banks, and management and supervision of Islamic banks.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nlinelibrary.wiley.com/doi/10.1002/bsd2.70261?af=R" TargetMode="External"/><Relationship Id="rId10" Type="http://schemas.openxmlformats.org/officeDocument/2006/relationships/hyperlink" Target="https://wsj.westsciences.com/index.php/wsiss/article/view/1832" TargetMode="External"/><Relationship Id="rId11" Type="http://schemas.openxmlformats.org/officeDocument/2006/relationships/hyperlink" Target="https://journal.uitm.edu.my/ojs/index.php/JEEIR/article/view/1386" TargetMode="External"/><Relationship Id="rId12" Type="http://schemas.openxmlformats.org/officeDocument/2006/relationships/hyperlink" Target="https://ouci.dntb.gov.ua/en/works/4YE1kVV4/" TargetMode="External"/><Relationship Id="rId13" Type="http://schemas.openxmlformats.org/officeDocument/2006/relationships/hyperlink" Target="https://journals.smartinsight.id/index.php/JIEL/article/view/575" TargetMode="External"/><Relationship Id="rId14" Type="http://schemas.openxmlformats.org/officeDocument/2006/relationships/hyperlink" Target="https://wsj.westsciences.com/index.php/wsis/article/view/883" TargetMode="External"/><Relationship Id="rId15" Type="http://schemas.openxmlformats.org/officeDocument/2006/relationships/hyperlink" Target="https://econjournals.com/index.php/ijefi/article/view/1828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