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organisations must treat domain privacy as a compliance control amid evolving data laws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Domain registrations now sit at the intersection of technical infrastructure and personal-data law, and organisations operating in Singapore must treat domain privacy as a compliance control rather than a mere convenience. When a domain is registered, registrant contact details are recorded in WHOIS databases and, unless masked, are publicly available; that exposure creates measurable security risks such as spam, phishing, identity scraping and social engineering, and it also engages data-protection obligations under Singapore’s Personal Data Protection Act (PDPA) and, where EU data subjects are involved, the European Union’s General Data Protection Regulation (GDPR). </w:t>
      </w:r>
      <w:hyperlink r:id="rId9">
        <w:r>
          <w:rPr>
            <w:color w:val="0000EE"/>
            <w:u w:val="single"/>
          </w:rPr>
          <w:t>[1]</w:t>
        </w:r>
      </w:hyperlink>
      <w:hyperlink r:id="rId10">
        <w:r>
          <w:rPr>
            <w:color w:val="0000EE"/>
            <w:u w:val="single"/>
          </w:rPr>
          <w:t>[2]</w:t>
        </w:r>
      </w:hyperlink>
      <w:r/>
    </w:p>
    <w:p>
      <w:r/>
      <w:r>
        <w:t xml:space="preserve">WHOIS was originally designed to enable network troubleshooting and accountability by publishing the registrant’s full name, email, phone number and postal address. The introduction of GDPR in 2018 upended that model by treating registrant information that identifies natural persons as personal data, forcing registrars and registries to reconcile legacy ICANN requirements with modern data-protection regimes. Industry practices shifted toward redaction and tiered access systems so that public WHOIS now often shows anonymised or proxy details while non-public repositories and formal access procedures support legitimate requests from law enforcement, security researchers and rights‑holders. </w:t>
      </w:r>
      <w:hyperlink r:id="rId9">
        <w:r>
          <w:rPr>
            <w:color w:val="0000EE"/>
            <w:u w:val="single"/>
          </w:rPr>
          <w:t>[1]</w:t>
        </w:r>
      </w:hyperlink>
      <w:hyperlink r:id="rId11">
        <w:r>
          <w:rPr>
            <w:color w:val="0000EE"/>
            <w:u w:val="single"/>
          </w:rPr>
          <w:t>[7]</w:t>
        </w:r>
      </w:hyperlink>
      <w:r/>
    </w:p>
    <w:p>
      <w:r/>
      <w:r>
        <w:t xml:space="preserve">Technically, domain privacy services operate by masking WHOIS contact fields and substituting proxy contact information managed by the registrar or a third-party privacy service; the registrant continues to retain administrative control of DNS, renewals and transfers. This differs materially from proxy registration, where legal ownership is transferred to the proxy entity and contractual arrangements determine beneficial use. The distinction matters for dispute resolution, transfers and incident response: privacy masking preserves registrant control and operational agility, whereas proxy arrangements can add procedural friction. </w:t>
      </w:r>
      <w:hyperlink r:id="rId9">
        <w:r>
          <w:rPr>
            <w:color w:val="0000EE"/>
            <w:u w:val="single"/>
          </w:rPr>
          <w:t>[1]</w:t>
        </w:r>
      </w:hyperlink>
      <w:hyperlink r:id="rId12">
        <w:r>
          <w:rPr>
            <w:color w:val="0000EE"/>
            <w:u w:val="single"/>
          </w:rPr>
          <w:t>[3]</w:t>
        </w:r>
      </w:hyperlink>
      <w:r/>
    </w:p>
    <w:p>
      <w:r/>
      <w:r>
        <w:t xml:space="preserve">From a regulatory perspective, GDPR’s extraterritorial reach means registrars and organisations in Singapore must adopt handling practices for EU data subjects that go beyond PDPA compliance. PDPC guidance makes clear that compliance with the PDPA does not automatically equal GDPR compliance, because GDPR imposes additional obligations such as stricter consent standards and cross‑border transfer safeguards. Conversely, PDPA emphasises organisational accountability and allows certain deemed‑consent scenarios; both frameworks converge on purpose limitation, data minimisation and the need for clear legal bases for processing. </w:t>
      </w:r>
      <w:hyperlink r:id="rId10">
        <w:r>
          <w:rPr>
            <w:color w:val="0000EE"/>
            <w:u w:val="single"/>
          </w:rPr>
          <w:t>[2]</w:t>
        </w:r>
      </w:hyperlink>
      <w:hyperlink r:id="rId13">
        <w:r>
          <w:rPr>
            <w:color w:val="0000EE"/>
            <w:u w:val="single"/>
          </w:rPr>
          <w:t>[4]</w:t>
        </w:r>
      </w:hyperlink>
      <w:hyperlink r:id="rId14">
        <w:r>
          <w:rPr>
            <w:color w:val="0000EE"/>
            <w:u w:val="single"/>
          </w:rPr>
          <w:t>[6]</w:t>
        </w:r>
      </w:hyperlink>
      <w:r/>
    </w:p>
    <w:p>
      <w:r/>
      <w:r>
        <w:t xml:space="preserve">Operationally, the inconsistency between registry policies and TLD rules increases complexity for multi‑domain portfolios. SGNIC, for example, redacts personal contact details for individual .sg registrants by default and applies eligibility requirements for .sg registrations, while gTLDs interpret ICANN policies differently after GDPR, so visibility can vary by TLD and by whether the registrant is an individual or an organisation. IT and security teams must therefore assume that WHOIS exposure will differ across domains and build controls, such as standardised corporate contacts, centralised registrar management and automation via APIs, to reduce human error and exposure windows. </w:t>
      </w:r>
      <w:hyperlink r:id="rId9">
        <w:r>
          <w:rPr>
            <w:color w:val="0000EE"/>
            <w:u w:val="single"/>
          </w:rPr>
          <w:t>[1]</w:t>
        </w:r>
      </w:hyperlink>
      <w:hyperlink r:id="rId11">
        <w:r>
          <w:rPr>
            <w:color w:val="0000EE"/>
            <w:u w:val="single"/>
          </w:rPr>
          <w:t>[7]</w:t>
        </w:r>
      </w:hyperlink>
      <w:r/>
    </w:p>
    <w:p>
      <w:r/>
      <w:r>
        <w:t xml:space="preserve">The security benefits of masking WHOIS are tangible. Attack surface reduction, lower rates of harvested email addresses and a smaller attack surface for spear‑phishing and voice‑based social engineering follow from masking registrant details; but privacy is not a panacea. Registrars continue to hold full registrant records and remain obliged to respond to lawful requests, and organisations must combine privacy masking with strong account security, transfer locks, DNSSEC, monitoring for unauthorised WHOIS changes and robust incident‑response processes. </w:t>
      </w:r>
      <w:hyperlink r:id="rId9">
        <w:r>
          <w:rPr>
            <w:color w:val="0000EE"/>
            <w:u w:val="single"/>
          </w:rPr>
          <w:t>[1]</w:t>
        </w:r>
      </w:hyperlink>
      <w:r/>
    </w:p>
    <w:p>
      <w:r/>
      <w:r>
        <w:t xml:space="preserve">Registrar selection and contractual terms are therefore critical compliance and security decisions. Registrars vary: some enable privacy protection by default, others offer it as a paid add‑on, some implement true privacy masking while others use proxy registration. Organisations should evaluate a registrar’s default privacy settings, renewal governance for privacy services, bulk management tooling and alignment with cross‑border transfer safeguards such as Standard Contractual Clauses where EU personal data may be involved. Failure to align registrar practice with organisational policy can create avoidable compliance gaps. </w:t>
      </w:r>
      <w:hyperlink r:id="rId9">
        <w:r>
          <w:rPr>
            <w:color w:val="0000EE"/>
            <w:u w:val="single"/>
          </w:rPr>
          <w:t>[1]</w:t>
        </w:r>
      </w:hyperlink>
      <w:hyperlink r:id="rId12">
        <w:r>
          <w:rPr>
            <w:color w:val="0000EE"/>
            <w:u w:val="single"/>
          </w:rPr>
          <w:t>[3]</w:t>
        </w:r>
      </w:hyperlink>
      <w:r/>
    </w:p>
    <w:p>
      <w:r/>
      <w:r>
        <w:t xml:space="preserve">Regulatory consequences are real. PDPA enforcement focuses on organisational accountability and can include directions and financial penalties for mishandling personal data; GDPR exposes organisations processing EU personal data to fines up to €20 million or 4% of global annual turnover in serious cases. For domain-related processing, the safest operational posture is to minimise the publication of personal data where it is unnecessary and to document legal bases, consent mechanisms and access procedures for any unredacted records. </w:t>
      </w:r>
      <w:hyperlink r:id="rId9">
        <w:r>
          <w:rPr>
            <w:color w:val="0000EE"/>
            <w:u w:val="single"/>
          </w:rPr>
          <w:t>[1]</w:t>
        </w:r>
      </w:hyperlink>
      <w:hyperlink r:id="rId15">
        <w:r>
          <w:rPr>
            <w:color w:val="0000EE"/>
            <w:u w:val="single"/>
          </w:rPr>
          <w:t>[5]</w:t>
        </w:r>
      </w:hyperlink>
      <w:hyperlink r:id="rId14">
        <w:r>
          <w:rPr>
            <w:color w:val="0000EE"/>
            <w:u w:val="single"/>
          </w:rPr>
          <w:t>[6]</w:t>
        </w:r>
      </w:hyperlink>
      <w:r/>
    </w:p>
    <w:p>
      <w:r/>
      <w:r>
        <w:t xml:space="preserve">QUAPE’s domain registration offering, as described in the announcement, positions privacy protection and integrated DNS control as part of a compliance‑aware service for the Asia‑Pacific market. According to the announcement by QUAPE, their service includes DNS management, predictable pricing and regional compliance considerations for PDPA and cross‑border scenarios; editorially, that is a vendor claim and organisations should evaluate contractual terms, evidence of operational controls and independent assurances before relying on a single provider for compliance needs.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(QUAPE article) - Paragraph 1, Paragraph 2, Paragraph 3, Paragraph 5, Paragraph 6, Paragraph 7, Paragraph 8, Paragraph 9</w:t>
      </w:r>
      <w:r/>
    </w:p>
    <w:p>
      <w:pPr>
        <w:pStyle w:val="ListBullet"/>
        <w:spacing w:line="240" w:lineRule="auto"/>
        <w:ind w:left="720"/>
      </w:pPr>
      <w:r/>
      <w:hyperlink r:id="rId10">
        <w:r>
          <w:rPr>
            <w:color w:val="0000EE"/>
            <w:u w:val="single"/>
          </w:rPr>
          <w:t>[2]</w:t>
        </w:r>
      </w:hyperlink>
      <w:r>
        <w:t xml:space="preserve"> (PDPC factsheet) - Paragraph 1, Paragraph 4</w:t>
      </w:r>
      <w:r/>
    </w:p>
    <w:p>
      <w:pPr>
        <w:pStyle w:val="ListBullet"/>
        <w:spacing w:line="240" w:lineRule="auto"/>
        <w:ind w:left="720"/>
      </w:pPr>
      <w:r/>
      <w:hyperlink r:id="rId12">
        <w:r>
          <w:rPr>
            <w:color w:val="0000EE"/>
            <w:u w:val="single"/>
          </w:rPr>
          <w:t>[3]</w:t>
        </w:r>
      </w:hyperlink>
      <w:r>
        <w:t xml:space="preserve"> (HostGator help) - Paragraph 3, Paragraph 8</w:t>
      </w:r>
      <w:r/>
    </w:p>
    <w:p>
      <w:pPr>
        <w:pStyle w:val="ListBullet"/>
        <w:spacing w:line="240" w:lineRule="auto"/>
        <w:ind w:left="720"/>
      </w:pPr>
      <w:r/>
      <w:hyperlink r:id="rId13">
        <w:r>
          <w:rPr>
            <w:color w:val="0000EE"/>
            <w:u w:val="single"/>
          </w:rPr>
          <w:t>[4]</w:t>
        </w:r>
      </w:hyperlink>
      <w:r>
        <w:t xml:space="preserve"> (ACC Docket) - Paragraph 4</w:t>
      </w:r>
      <w:r/>
    </w:p>
    <w:p>
      <w:pPr>
        <w:pStyle w:val="ListBullet"/>
        <w:spacing w:line="240" w:lineRule="auto"/>
        <w:ind w:left="720"/>
      </w:pPr>
      <w:r/>
      <w:hyperlink r:id="rId15">
        <w:r>
          <w:rPr>
            <w:color w:val="0000EE"/>
            <w:u w:val="single"/>
          </w:rPr>
          <w:t>[5]</w:t>
        </w:r>
      </w:hyperlink>
      <w:r>
        <w:t xml:space="preserve"> (Obeden PDPA FAQ) - Paragraph 9</w:t>
      </w:r>
      <w:r/>
    </w:p>
    <w:p>
      <w:pPr>
        <w:pStyle w:val="ListBullet"/>
        <w:spacing w:line="240" w:lineRule="auto"/>
        <w:ind w:left="720"/>
      </w:pPr>
      <w:r/>
      <w:hyperlink r:id="rId14">
        <w:r>
          <w:rPr>
            <w:color w:val="0000EE"/>
            <w:u w:val="single"/>
          </w:rPr>
          <w:t>[6]</w:t>
        </w:r>
      </w:hyperlink>
      <w:r>
        <w:t xml:space="preserve"> (ASEAN Briefing) - Paragraph 4, Paragraph 9</w:t>
      </w:r>
      <w:r/>
    </w:p>
    <w:p>
      <w:pPr>
        <w:pStyle w:val="ListBullet"/>
        <w:spacing w:line="240" w:lineRule="auto"/>
        <w:ind w:left="720"/>
      </w:pPr>
      <w:r/>
      <w:hyperlink r:id="rId11">
        <w:r>
          <w:rPr>
            <w:color w:val="0000EE"/>
            <w:u w:val="single"/>
          </w:rPr>
          <w:t>[7]</w:t>
        </w:r>
      </w:hyperlink>
      <w:r>
        <w:t xml:space="preserve"> (INTA report)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https://www.quape.com/domain-privacy-whois-protection-gdpr-pdpa-compliance-in-singapore/</w:t>
        </w:r>
      </w:hyperlink>
      <w:r>
        <w:t xml:space="preserve"> - Please view link - unable to able to access data</w:t>
      </w:r>
      <w:r/>
    </w:p>
    <w:p>
      <w:pPr>
        <w:pStyle w:val="ListNumber"/>
        <w:spacing w:line="240" w:lineRule="auto"/>
        <w:ind w:left="720"/>
      </w:pPr>
      <w:r/>
      <w:hyperlink r:id="rId10">
        <w:r>
          <w:rPr>
            <w:color w:val="0000EE"/>
            <w:u w:val="single"/>
          </w:rPr>
          <w:t>https://www.pdpc.gov.sg/help-and-resources/2017/10/eu-gdpr</w:t>
        </w:r>
      </w:hyperlink>
      <w:r>
        <w:t xml:space="preserve"> - The Personal Data Protection Commission (PDPC) provides guidance on the applicability of the EU General Data Protection Regulation (GDPR) to organizations in Singapore. The GDPR applies to organizations outside the EU if they offer goods or services to individuals in the EU or monitor their behavior within the EU. The PDPC has developed a factsheet highlighting the key requirements of the GDPR, emphasizing that compliance with Singapore's Personal Data Protection Act (PDPA) does not automatically equate to compliance with the GDPR. Organizations may need to implement additional measures to ensure compliance with both regulations.</w:t>
      </w:r>
      <w:r/>
    </w:p>
    <w:p>
      <w:pPr>
        <w:pStyle w:val="ListNumber"/>
        <w:spacing w:line="240" w:lineRule="auto"/>
        <w:ind w:left="720"/>
      </w:pPr>
      <w:r/>
      <w:hyperlink r:id="rId12">
        <w:r>
          <w:rPr>
            <w:color w:val="0000EE"/>
            <w:u w:val="single"/>
          </w:rPr>
          <w:t>https://my.hostgator.sg/hosting/help/domain-privacy</w:t>
        </w:r>
      </w:hyperlink>
      <w:r>
        <w:t xml:space="preserve"> - HostGator explains the concept of domain privacy protection, which involves masking personal contact information in the WHOIS database to prevent exposure to spam, phishing, and identity theft. The service replaces the registrant's details with generic contact information provided by the registrar or a designated privacy service. This ensures that the registrant retains full administrative control over the domain while keeping their personal information private. HostGator also discusses the availability of domain privacy for various top-level domains (TLDs) and provides guidance on enabling this feature through their control panel.</w:t>
      </w:r>
      <w:r/>
    </w:p>
    <w:p>
      <w:pPr>
        <w:pStyle w:val="ListNumber"/>
        <w:spacing w:line="240" w:lineRule="auto"/>
        <w:ind w:left="720"/>
      </w:pPr>
      <w:r/>
      <w:hyperlink r:id="rId13">
        <w:r>
          <w:rPr>
            <w:color w:val="0000EE"/>
            <w:u w:val="single"/>
          </w:rPr>
          <w:t>https://docket.acc.com/gdpr-compliance-enough-entities-operating-asia</w:t>
        </w:r>
      </w:hyperlink>
      <w:r>
        <w:t xml:space="preserve"> - An article from the ACC Docket discusses the implications of the EU General Data Protection Regulation (GDPR) for entities operating in Asia. It highlights that while GDPR compliance is essential, organizations in Asia must also consider local data protection laws, such as Singapore's Personal Data Protection Act (PDPA). The article emphasizes the importance of understanding the differences between GDPR and PDPA, including requirements for appointing Data Protection Officers (DPOs) and other compliance obligations. It advises organizations to seek professional legal advice to navigate the complexities of data protection regulations in both jurisdictions.</w:t>
      </w:r>
      <w:r/>
    </w:p>
    <w:p>
      <w:pPr>
        <w:pStyle w:val="ListNumber"/>
        <w:spacing w:line="240" w:lineRule="auto"/>
        <w:ind w:left="720"/>
      </w:pPr>
      <w:r/>
      <w:hyperlink r:id="rId15">
        <w:r>
          <w:rPr>
            <w:color w:val="0000EE"/>
            <w:u w:val="single"/>
          </w:rPr>
          <w:t>https://www.obeden.com/pdpa-faq</w:t>
        </w:r>
      </w:hyperlink>
      <w:r>
        <w:t xml:space="preserve"> - Obeden provides a comprehensive FAQ on Singapore's Personal Data Protection Act (PDPA). The FAQ covers various aspects of the PDPA, including its applicability to organizations operating in Singapore, the consequences of non-compliance, and steps organizations can take to comply with the act. It outlines the penalties for non-compliance, which can include financial penalties up to 10% of annual turnover for organizations exceeding S$10 million, or fines up to S$1 million for other cases. The FAQ also discusses the rights of individuals under the PDPA, such as the right to access and correct personal data held by organizations.</w:t>
      </w:r>
      <w:r/>
    </w:p>
    <w:p>
      <w:pPr>
        <w:pStyle w:val="ListNumber"/>
        <w:spacing w:line="240" w:lineRule="auto"/>
        <w:ind w:left="720"/>
      </w:pPr>
      <w:r/>
      <w:hyperlink r:id="rId14">
        <w:r>
          <w:rPr>
            <w:color w:val="0000EE"/>
            <w:u w:val="single"/>
          </w:rPr>
          <w:t>https://www.aseanbriefing.com/doing-business-guide/singapore/company-establishment/singapore-personal-data-protection-act-pdpa</w:t>
        </w:r>
      </w:hyperlink>
      <w:r>
        <w:t xml:space="preserve"> - ASEAN Briefing provides insights into Singapore's Personal Data Protection Act (PDPA) and its implications for businesses. The article explains the role of the Personal Data Protection Commission (PDPC) in enforcing the PDPA, including investigating data privacy breaches and issuing directions to organizations to cease improper data practices or destroy unlawfully obtained data. It also outlines the potential penalties for non-compliance, ranging from administrative fines to directions to stop data processing activities. The article emphasizes the importance for businesses to understand and comply with the PDPA to avoid legal repercussions.</w:t>
      </w:r>
      <w:r/>
    </w:p>
    <w:p>
      <w:pPr>
        <w:pStyle w:val="ListNumber"/>
        <w:spacing w:line="240" w:lineRule="auto"/>
        <w:ind w:left="720"/>
      </w:pPr>
      <w:r/>
      <w:hyperlink r:id="rId11">
        <w:r>
          <w:rPr>
            <w:color w:val="0000EE"/>
            <w:u w:val="single"/>
          </w:rPr>
          <w:t>https://www.inta.org/wp-content/uploads/public-files/advocacy/committee-reports/20220302_Disclosure-of-WHOIS-Data-in-ccTLDs-in-Asia-Pacific-Regions-After-GDPR.pdf</w:t>
        </w:r>
      </w:hyperlink>
      <w:r>
        <w:t xml:space="preserve"> - The International Trademark Association (INTA) report examines the impact of the General Data Protection Regulation (GDPR) on the disclosure of WHOIS data in country code top-level domains (ccTLDs) in the Asia-Pacific region. The survey included 10 countries and regions, including Singapore, and found that GDPR only affected the disclosure of WHOIS data for .tw domains administered under Taiwanese laws. The report concludes that the enforcement of GDPR has had a limited impact on the disclosure of WHOIS data in ccTLDs in the Asia-Pacific region, with restrictions primarily due to local privacy protection laws.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ape.com/domain-privacy-whois-protection-gdpr-pdpa-compliance-in-singapore/" TargetMode="External"/><Relationship Id="rId10" Type="http://schemas.openxmlformats.org/officeDocument/2006/relationships/hyperlink" Target="https://www.pdpc.gov.sg/help-and-resources/2017/10/eu-gdpr" TargetMode="External"/><Relationship Id="rId11" Type="http://schemas.openxmlformats.org/officeDocument/2006/relationships/hyperlink" Target="https://www.inta.org/wp-content/uploads/public-files/advocacy/committee-reports/20220302_Disclosure-of-WHOIS-Data-in-ccTLDs-in-Asia-Pacific-Regions-After-GDPR.pdf" TargetMode="External"/><Relationship Id="rId12" Type="http://schemas.openxmlformats.org/officeDocument/2006/relationships/hyperlink" Target="https://my.hostgator.sg/hosting/help/domain-privacy" TargetMode="External"/><Relationship Id="rId13" Type="http://schemas.openxmlformats.org/officeDocument/2006/relationships/hyperlink" Target="https://docket.acc.com/gdpr-compliance-enough-entities-operating-asia" TargetMode="External"/><Relationship Id="rId14" Type="http://schemas.openxmlformats.org/officeDocument/2006/relationships/hyperlink" Target="https://www.aseanbriefing.com/doing-business-guide/singapore/company-establishment/singapore-personal-data-protection-act-pdpa" TargetMode="External"/><Relationship Id="rId15" Type="http://schemas.openxmlformats.org/officeDocument/2006/relationships/hyperlink" Target="https://www.obeden.com/pdpa-faq"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